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BF0E" w14:textId="77777777" w:rsidR="002B78A6" w:rsidRPr="008733AC" w:rsidRDefault="002B78A6">
      <w:pPr>
        <w:pStyle w:val="Plattetekst"/>
        <w:spacing w:before="0"/>
        <w:ind w:left="0"/>
        <w:jc w:val="left"/>
        <w:rPr>
          <w:rFonts w:ascii="Times New Roman" w:hAnsi="Times New Roman"/>
          <w:sz w:val="56"/>
        </w:rPr>
      </w:pPr>
    </w:p>
    <w:p w14:paraId="295E49DD" w14:textId="77777777" w:rsidR="002B78A6" w:rsidRPr="008733AC" w:rsidRDefault="002B78A6">
      <w:pPr>
        <w:pStyle w:val="Plattetekst"/>
        <w:spacing w:before="0"/>
        <w:ind w:left="0"/>
        <w:jc w:val="left"/>
        <w:rPr>
          <w:rFonts w:ascii="Times New Roman" w:hAnsi="Times New Roman"/>
          <w:sz w:val="56"/>
        </w:rPr>
      </w:pPr>
    </w:p>
    <w:p w14:paraId="21446B98" w14:textId="77777777" w:rsidR="002B78A6" w:rsidRPr="008733AC" w:rsidRDefault="002B78A6">
      <w:pPr>
        <w:pStyle w:val="Plattetekst"/>
        <w:spacing w:before="0"/>
        <w:ind w:left="0"/>
        <w:jc w:val="left"/>
        <w:rPr>
          <w:rFonts w:ascii="Times New Roman" w:hAnsi="Times New Roman"/>
          <w:sz w:val="56"/>
        </w:rPr>
      </w:pPr>
    </w:p>
    <w:p w14:paraId="58E0648F" w14:textId="77777777" w:rsidR="002B78A6" w:rsidRPr="008733AC" w:rsidRDefault="002B78A6">
      <w:pPr>
        <w:pStyle w:val="Plattetekst"/>
        <w:spacing w:before="0"/>
        <w:ind w:left="0"/>
        <w:jc w:val="left"/>
        <w:rPr>
          <w:rFonts w:ascii="Times New Roman" w:hAnsi="Times New Roman"/>
          <w:sz w:val="56"/>
        </w:rPr>
      </w:pPr>
    </w:p>
    <w:p w14:paraId="337EA096" w14:textId="77777777" w:rsidR="002B78A6" w:rsidRPr="008733AC" w:rsidRDefault="002B78A6">
      <w:pPr>
        <w:pStyle w:val="Plattetekst"/>
        <w:spacing w:before="0"/>
        <w:ind w:left="0"/>
        <w:jc w:val="left"/>
        <w:rPr>
          <w:rFonts w:ascii="Times New Roman" w:hAnsi="Times New Roman"/>
          <w:sz w:val="56"/>
        </w:rPr>
      </w:pPr>
    </w:p>
    <w:p w14:paraId="1BE35DC8" w14:textId="77777777" w:rsidR="002B78A6" w:rsidRPr="008733AC" w:rsidRDefault="002B78A6">
      <w:pPr>
        <w:pStyle w:val="Plattetekst"/>
        <w:spacing w:before="448"/>
        <w:ind w:left="0"/>
        <w:jc w:val="left"/>
        <w:rPr>
          <w:rFonts w:ascii="Times New Roman" w:hAnsi="Times New Roman"/>
          <w:sz w:val="56"/>
        </w:rPr>
      </w:pPr>
    </w:p>
    <w:p w14:paraId="7C917979" w14:textId="77777777" w:rsidR="002B78A6" w:rsidRPr="008733AC" w:rsidRDefault="00000000">
      <w:pPr>
        <w:pStyle w:val="Titel"/>
      </w:pPr>
      <w:r w:rsidRPr="008733AC">
        <w:t>Veelgestelde vragen</w:t>
      </w:r>
    </w:p>
    <w:p w14:paraId="73EE2385" w14:textId="77777777" w:rsidR="002B78A6" w:rsidRPr="008733AC" w:rsidRDefault="00000000">
      <w:pPr>
        <w:spacing w:before="582"/>
        <w:ind w:left="3" w:right="61"/>
        <w:jc w:val="center"/>
        <w:rPr>
          <w:b/>
          <w:sz w:val="40"/>
        </w:rPr>
      </w:pPr>
      <w:r w:rsidRPr="008733AC">
        <w:rPr>
          <w:b/>
          <w:sz w:val="40"/>
        </w:rPr>
        <w:t>Invoering van de EU-verordening inzake ontbossingsvrije producten</w:t>
      </w:r>
    </w:p>
    <w:p w14:paraId="11D59C3B" w14:textId="77777777" w:rsidR="002B78A6" w:rsidRPr="008733AC" w:rsidRDefault="002B78A6">
      <w:pPr>
        <w:jc w:val="center"/>
        <w:rPr>
          <w:sz w:val="40"/>
        </w:rPr>
        <w:sectPr w:rsidR="002B78A6" w:rsidRPr="008733AC" w:rsidSect="003C21AD">
          <w:footerReference w:type="default" r:id="rId7"/>
          <w:type w:val="continuous"/>
          <w:pgSz w:w="11910" w:h="16840"/>
          <w:pgMar w:top="1920" w:right="1280" w:bottom="1200" w:left="1340" w:header="0" w:footer="1000" w:gutter="0"/>
          <w:pgNumType w:start="1"/>
          <w:cols w:space="720"/>
        </w:sectPr>
      </w:pPr>
    </w:p>
    <w:p w14:paraId="4AD74119" w14:textId="77777777" w:rsidR="002B78A6" w:rsidRPr="008733AC" w:rsidRDefault="00000000">
      <w:pPr>
        <w:spacing w:before="21"/>
        <w:ind w:left="100"/>
        <w:rPr>
          <w:sz w:val="32"/>
        </w:rPr>
      </w:pPr>
      <w:r w:rsidRPr="008733AC">
        <w:rPr>
          <w:sz w:val="32"/>
        </w:rPr>
        <w:lastRenderedPageBreak/>
        <w:t>Inhoudsopgave</w:t>
      </w:r>
    </w:p>
    <w:p w14:paraId="3EE948BA" w14:textId="77777777" w:rsidR="002B78A6" w:rsidRPr="008733AC" w:rsidRDefault="002B78A6">
      <w:pPr>
        <w:rPr>
          <w:sz w:val="32"/>
        </w:rPr>
        <w:sectPr w:rsidR="002B78A6" w:rsidRPr="008733AC" w:rsidSect="003C21AD">
          <w:pgSz w:w="11910" w:h="16840"/>
          <w:pgMar w:top="1400" w:right="1280" w:bottom="1505" w:left="1340" w:header="0" w:footer="1000" w:gutter="0"/>
          <w:cols w:space="720"/>
        </w:sectPr>
      </w:pPr>
    </w:p>
    <w:sdt>
      <w:sdtPr>
        <w:rPr>
          <w:sz w:val="22"/>
          <w:szCs w:val="22"/>
        </w:rPr>
        <w:id w:val="1420214018"/>
        <w:docPartObj>
          <w:docPartGallery w:val="Table of Contents"/>
          <w:docPartUnique/>
        </w:docPartObj>
      </w:sdtPr>
      <w:sdtContent>
        <w:p w14:paraId="1697EFF3" w14:textId="77777777" w:rsidR="002B78A6" w:rsidRPr="008733AC" w:rsidRDefault="00000000">
          <w:pPr>
            <w:pStyle w:val="Inhopg1"/>
            <w:tabs>
              <w:tab w:val="right" w:leader="dot" w:pos="9119"/>
            </w:tabs>
            <w:spacing w:before="191"/>
          </w:pPr>
          <w:hyperlink w:anchor="_bookmark0" w:history="1">
            <w:r w:rsidRPr="008733AC">
              <w:t>Traceerbaarheid</w:t>
            </w:r>
            <w:r w:rsidRPr="008733AC">
              <w:tab/>
              <w:t>5</w:t>
            </w:r>
          </w:hyperlink>
        </w:p>
        <w:p w14:paraId="5DDCF1BA" w14:textId="77777777" w:rsidR="002B78A6" w:rsidRPr="008733AC" w:rsidRDefault="00000000">
          <w:pPr>
            <w:pStyle w:val="Inhopg2"/>
            <w:numPr>
              <w:ilvl w:val="0"/>
              <w:numId w:val="3"/>
            </w:numPr>
            <w:tabs>
              <w:tab w:val="left" w:pos="981"/>
              <w:tab w:val="right" w:leader="dot" w:pos="9120"/>
            </w:tabs>
            <w:spacing w:before="128"/>
            <w:rPr>
              <w:b w:val="0"/>
            </w:rPr>
          </w:pPr>
          <w:hyperlink w:anchor="_bookmark1" w:history="1">
            <w:r w:rsidRPr="008733AC">
              <w:t>Waarom en hoe moeten marktdeelnemers coördinaten verzamelen?</w:t>
            </w:r>
            <w:r w:rsidRPr="008733AC">
              <w:tab/>
            </w:r>
            <w:r w:rsidRPr="008733AC">
              <w:rPr>
                <w:b w:val="0"/>
              </w:rPr>
              <w:t>5</w:t>
            </w:r>
          </w:hyperlink>
        </w:p>
        <w:p w14:paraId="00324C1C" w14:textId="77777777" w:rsidR="002B78A6" w:rsidRPr="008733AC" w:rsidRDefault="00000000">
          <w:pPr>
            <w:pStyle w:val="Inhopg2"/>
            <w:numPr>
              <w:ilvl w:val="0"/>
              <w:numId w:val="3"/>
            </w:numPr>
            <w:tabs>
              <w:tab w:val="left" w:pos="981"/>
              <w:tab w:val="right" w:leader="dot" w:pos="9120"/>
            </w:tabs>
            <w:rPr>
              <w:b w:val="0"/>
            </w:rPr>
          </w:pPr>
          <w:hyperlink w:anchor="_bookmark2" w:history="1">
            <w:r w:rsidRPr="008733AC">
              <w:t>Moeten alle grondstoffen (geïmporteerd, geëxporteerd, verhandeld) traceerbaar zijn?</w:t>
            </w:r>
            <w:r w:rsidRPr="008733AC">
              <w:tab/>
            </w:r>
            <w:r w:rsidRPr="008733AC">
              <w:rPr>
                <w:b w:val="0"/>
              </w:rPr>
              <w:t>5</w:t>
            </w:r>
          </w:hyperlink>
        </w:p>
        <w:p w14:paraId="249E71FD" w14:textId="77777777" w:rsidR="002B78A6" w:rsidRPr="008733AC" w:rsidRDefault="00000000">
          <w:pPr>
            <w:pStyle w:val="Inhopg2"/>
            <w:numPr>
              <w:ilvl w:val="0"/>
              <w:numId w:val="3"/>
            </w:numPr>
            <w:tabs>
              <w:tab w:val="left" w:pos="981"/>
              <w:tab w:val="right" w:leader="dot" w:pos="9120"/>
            </w:tabs>
            <w:spacing w:before="123"/>
            <w:rPr>
              <w:b w:val="0"/>
            </w:rPr>
          </w:pPr>
          <w:hyperlink w:anchor="_bookmark3" w:history="1">
            <w:r w:rsidRPr="008733AC">
              <w:t>Hoe werkt het voor in bulk verhandelde of samengestelde producten?</w:t>
            </w:r>
            <w:r w:rsidRPr="008733AC">
              <w:tab/>
            </w:r>
            <w:r w:rsidRPr="008733AC">
              <w:rPr>
                <w:b w:val="0"/>
              </w:rPr>
              <w:t>6</w:t>
            </w:r>
          </w:hyperlink>
        </w:p>
        <w:p w14:paraId="6D87CA01" w14:textId="77777777" w:rsidR="002B78A6" w:rsidRPr="008733AC" w:rsidRDefault="00000000">
          <w:pPr>
            <w:pStyle w:val="Inhopg2"/>
            <w:numPr>
              <w:ilvl w:val="0"/>
              <w:numId w:val="3"/>
            </w:numPr>
            <w:tabs>
              <w:tab w:val="left" w:pos="981"/>
              <w:tab w:val="right" w:leader="dot" w:pos="9120"/>
            </w:tabs>
            <w:rPr>
              <w:b w:val="0"/>
            </w:rPr>
          </w:pPr>
          <w:hyperlink w:anchor="_bookmark4" w:history="1">
            <w:r w:rsidRPr="008733AC">
              <w:t>Zijn massabalansketens toegestaan?</w:t>
            </w:r>
            <w:r w:rsidRPr="008733AC">
              <w:tab/>
            </w:r>
            <w:r w:rsidRPr="008733AC">
              <w:rPr>
                <w:b w:val="0"/>
              </w:rPr>
              <w:t>6</w:t>
            </w:r>
          </w:hyperlink>
        </w:p>
        <w:p w14:paraId="0D5D8173" w14:textId="77777777" w:rsidR="002B78A6" w:rsidRPr="008733AC" w:rsidRDefault="00000000">
          <w:pPr>
            <w:pStyle w:val="Inhopg2"/>
            <w:numPr>
              <w:ilvl w:val="0"/>
              <w:numId w:val="3"/>
            </w:numPr>
            <w:tabs>
              <w:tab w:val="left" w:pos="981"/>
              <w:tab w:val="right" w:leader="dot" w:pos="9120"/>
            </w:tabs>
            <w:rPr>
              <w:b w:val="0"/>
            </w:rPr>
          </w:pPr>
          <w:hyperlink w:anchor="_bookmark5" w:history="1">
            <w:r w:rsidRPr="008733AC">
              <w:t>Wat als een deel van een product niet conform is?</w:t>
            </w:r>
            <w:r w:rsidRPr="008733AC">
              <w:tab/>
            </w:r>
            <w:r w:rsidRPr="008733AC">
              <w:rPr>
                <w:b w:val="0"/>
              </w:rPr>
              <w:t>6</w:t>
            </w:r>
          </w:hyperlink>
        </w:p>
        <w:p w14:paraId="573BE0A2" w14:textId="77777777" w:rsidR="002B78A6" w:rsidRPr="008733AC" w:rsidRDefault="00000000">
          <w:pPr>
            <w:pStyle w:val="Inhopg2"/>
            <w:numPr>
              <w:ilvl w:val="0"/>
              <w:numId w:val="3"/>
            </w:numPr>
            <w:tabs>
              <w:tab w:val="left" w:pos="981"/>
              <w:tab w:val="right" w:leader="dot" w:pos="9120"/>
            </w:tabs>
            <w:spacing w:before="123"/>
            <w:rPr>
              <w:b w:val="0"/>
            </w:rPr>
          </w:pPr>
          <w:hyperlink w:anchor="_bookmark6" w:history="1">
            <w:r w:rsidRPr="008733AC">
              <w:t>Wat betekent 'perceel'?</w:t>
            </w:r>
            <w:r w:rsidRPr="008733AC">
              <w:rPr>
                <w:rFonts w:ascii="Times New Roman" w:hAnsi="Times New Roman"/>
                <w:b w:val="0"/>
              </w:rPr>
              <w:tab/>
            </w:r>
            <w:r w:rsidRPr="008733AC">
              <w:rPr>
                <w:b w:val="0"/>
              </w:rPr>
              <w:t>7</w:t>
            </w:r>
          </w:hyperlink>
        </w:p>
        <w:p w14:paraId="2F25881C" w14:textId="77777777" w:rsidR="002B78A6" w:rsidRPr="008733AC" w:rsidRDefault="00000000">
          <w:pPr>
            <w:pStyle w:val="Inhopg2"/>
            <w:numPr>
              <w:ilvl w:val="0"/>
              <w:numId w:val="3"/>
            </w:numPr>
            <w:tabs>
              <w:tab w:val="left" w:pos="981"/>
              <w:tab w:val="right" w:leader="dot" w:pos="9120"/>
            </w:tabs>
            <w:rPr>
              <w:b w:val="0"/>
            </w:rPr>
          </w:pPr>
          <w:hyperlink w:anchor="_bookmark7" w:history="1">
            <w:r w:rsidRPr="008733AC">
              <w:t>Wat zijn de regels voor een stuk land dat niet als onroerend goed wordt beschouwd?</w:t>
            </w:r>
            <w:r w:rsidRPr="008733AC">
              <w:tab/>
            </w:r>
            <w:r w:rsidRPr="008733AC">
              <w:rPr>
                <w:b w:val="0"/>
              </w:rPr>
              <w:t>7</w:t>
            </w:r>
          </w:hyperlink>
        </w:p>
        <w:p w14:paraId="4DE36B2B" w14:textId="77777777" w:rsidR="002B78A6" w:rsidRPr="008733AC" w:rsidRDefault="00000000">
          <w:pPr>
            <w:pStyle w:val="Inhopg2"/>
            <w:numPr>
              <w:ilvl w:val="0"/>
              <w:numId w:val="3"/>
            </w:numPr>
            <w:tabs>
              <w:tab w:val="left" w:pos="981"/>
              <w:tab w:val="right" w:leader="dot" w:pos="9120"/>
            </w:tabs>
            <w:spacing w:before="123"/>
            <w:rPr>
              <w:b w:val="0"/>
            </w:rPr>
          </w:pPr>
          <w:hyperlink w:anchor="_bookmark8" w:history="1">
            <w:r w:rsidRPr="008733AC">
              <w:t>Wat als er geen percelenkadasters of eigendomstitels beschikbaar zijn?</w:t>
            </w:r>
            <w:r w:rsidRPr="008733AC">
              <w:tab/>
            </w:r>
            <w:r w:rsidRPr="008733AC">
              <w:rPr>
                <w:b w:val="0"/>
              </w:rPr>
              <w:t>7</w:t>
            </w:r>
          </w:hyperlink>
        </w:p>
        <w:p w14:paraId="28933806" w14:textId="77777777" w:rsidR="002B78A6" w:rsidRPr="008733AC" w:rsidRDefault="00000000">
          <w:pPr>
            <w:pStyle w:val="Inhopg2"/>
            <w:numPr>
              <w:ilvl w:val="0"/>
              <w:numId w:val="3"/>
            </w:numPr>
            <w:tabs>
              <w:tab w:val="left" w:pos="981"/>
              <w:tab w:val="right" w:leader="dot" w:pos="9120"/>
            </w:tabs>
            <w:spacing w:before="121"/>
            <w:rPr>
              <w:b w:val="0"/>
            </w:rPr>
          </w:pPr>
          <w:hyperlink w:anchor="_bookmark9" w:history="1">
            <w:r w:rsidRPr="008733AC">
              <w:t>Mag een marktdeelnemer de geolocatiegegevens van de producent gebruiken?</w:t>
            </w:r>
            <w:r w:rsidRPr="008733AC">
              <w:rPr>
                <w:rFonts w:ascii="Times New Roman" w:hAnsi="Times New Roman"/>
                <w:b w:val="0"/>
              </w:rPr>
              <w:tab/>
            </w:r>
            <w:r w:rsidRPr="008733AC">
              <w:rPr>
                <w:b w:val="0"/>
              </w:rPr>
              <w:t>7</w:t>
            </w:r>
          </w:hyperlink>
        </w:p>
        <w:p w14:paraId="32D90B22" w14:textId="77777777" w:rsidR="002B78A6" w:rsidRPr="008733AC" w:rsidRDefault="00000000">
          <w:pPr>
            <w:pStyle w:val="Inhopg2"/>
            <w:numPr>
              <w:ilvl w:val="0"/>
              <w:numId w:val="3"/>
            </w:numPr>
            <w:tabs>
              <w:tab w:val="left" w:pos="981"/>
              <w:tab w:val="right" w:leader="dot" w:pos="9120"/>
            </w:tabs>
            <w:rPr>
              <w:b w:val="0"/>
            </w:rPr>
          </w:pPr>
          <w:hyperlink w:anchor="_bookmark10" w:history="1">
            <w:r w:rsidRPr="008733AC">
              <w:t>Moeten marktdeelnemers de geolocatie controleren?</w:t>
            </w:r>
            <w:r w:rsidRPr="008733AC">
              <w:tab/>
            </w:r>
            <w:r w:rsidRPr="008733AC">
              <w:rPr>
                <w:b w:val="0"/>
              </w:rPr>
              <w:t>8</w:t>
            </w:r>
          </w:hyperlink>
        </w:p>
        <w:p w14:paraId="4B8CDFBB" w14:textId="77777777" w:rsidR="002B78A6" w:rsidRPr="008733AC" w:rsidRDefault="00000000">
          <w:pPr>
            <w:pStyle w:val="Inhopg2"/>
            <w:numPr>
              <w:ilvl w:val="0"/>
              <w:numId w:val="3"/>
            </w:numPr>
            <w:tabs>
              <w:tab w:val="left" w:pos="981"/>
              <w:tab w:val="right" w:leader="dot" w:pos="9120"/>
            </w:tabs>
            <w:spacing w:before="122"/>
            <w:rPr>
              <w:b w:val="0"/>
            </w:rPr>
          </w:pPr>
          <w:hyperlink w:anchor="_bookmark11" w:history="1">
            <w:r w:rsidRPr="008733AC">
              <w:t>Moet de zorgvuldigheidsprocedure herhaald worden voor producten van hetzelfde stuk land?</w:t>
            </w:r>
            <w:r w:rsidRPr="008733AC">
              <w:tab/>
            </w:r>
            <w:r w:rsidRPr="008733AC">
              <w:rPr>
                <w:b w:val="0"/>
              </w:rPr>
              <w:t>8</w:t>
            </w:r>
          </w:hyperlink>
        </w:p>
        <w:p w14:paraId="766FF49A" w14:textId="77777777" w:rsidR="002B78A6" w:rsidRPr="008733AC" w:rsidRDefault="00000000">
          <w:pPr>
            <w:pStyle w:val="Inhopg2"/>
            <w:numPr>
              <w:ilvl w:val="0"/>
              <w:numId w:val="3"/>
            </w:numPr>
            <w:tabs>
              <w:tab w:val="left" w:pos="981"/>
              <w:tab w:val="right" w:leader="dot" w:pos="9120"/>
            </w:tabs>
            <w:spacing w:before="121"/>
            <w:rPr>
              <w:b w:val="0"/>
            </w:rPr>
          </w:pPr>
          <w:hyperlink w:anchor="_bookmark12" w:history="1">
            <w:r w:rsidRPr="008733AC">
              <w:t>Kan een polygoon meerdere percelen omvatten?</w:t>
            </w:r>
            <w:r w:rsidRPr="008733AC">
              <w:tab/>
            </w:r>
            <w:r w:rsidRPr="008733AC">
              <w:rPr>
                <w:b w:val="0"/>
              </w:rPr>
              <w:t>8</w:t>
            </w:r>
          </w:hyperlink>
        </w:p>
        <w:p w14:paraId="4007B8D3" w14:textId="77777777" w:rsidR="002B78A6" w:rsidRPr="008733AC" w:rsidRDefault="00000000">
          <w:pPr>
            <w:pStyle w:val="Inhopg2"/>
            <w:numPr>
              <w:ilvl w:val="0"/>
              <w:numId w:val="3"/>
            </w:numPr>
            <w:tabs>
              <w:tab w:val="left" w:pos="981"/>
              <w:tab w:val="right" w:leader="dot" w:pos="9120"/>
            </w:tabs>
            <w:spacing w:before="122"/>
            <w:rPr>
              <w:b w:val="0"/>
            </w:rPr>
          </w:pPr>
          <w:hyperlink w:anchor="_bookmark13" w:history="1">
            <w:r w:rsidRPr="008733AC">
              <w:t>Moeten polygonen worden verstrekt op basis van een omtrek?</w:t>
            </w:r>
            <w:r w:rsidRPr="008733AC">
              <w:tab/>
            </w:r>
            <w:r w:rsidRPr="008733AC">
              <w:rPr>
                <w:b w:val="0"/>
              </w:rPr>
              <w:t>8</w:t>
            </w:r>
          </w:hyperlink>
        </w:p>
        <w:p w14:paraId="034A3A51" w14:textId="77777777" w:rsidR="002B78A6" w:rsidRPr="008733AC" w:rsidRDefault="00000000">
          <w:pPr>
            <w:pStyle w:val="Inhopg2"/>
            <w:numPr>
              <w:ilvl w:val="0"/>
              <w:numId w:val="3"/>
            </w:numPr>
            <w:tabs>
              <w:tab w:val="left" w:pos="981"/>
              <w:tab w:val="right" w:leader="dot" w:pos="9120"/>
            </w:tabs>
            <w:spacing w:before="121"/>
            <w:rPr>
              <w:b w:val="0"/>
            </w:rPr>
          </w:pPr>
          <w:hyperlink w:anchor="_bookmark14" w:history="1">
            <w:r w:rsidRPr="008733AC">
              <w:t>Hoe moet de oorsprong van gemengde goederen worden aangegeven?</w:t>
            </w:r>
            <w:r w:rsidRPr="008733AC">
              <w:tab/>
            </w:r>
            <w:r w:rsidRPr="008733AC">
              <w:rPr>
                <w:b w:val="0"/>
              </w:rPr>
              <w:t>8</w:t>
            </w:r>
          </w:hyperlink>
        </w:p>
        <w:p w14:paraId="51ABE9BA" w14:textId="77777777" w:rsidR="002B78A6" w:rsidRPr="008733AC" w:rsidRDefault="00000000">
          <w:pPr>
            <w:pStyle w:val="Inhopg2"/>
            <w:numPr>
              <w:ilvl w:val="0"/>
              <w:numId w:val="3"/>
            </w:numPr>
            <w:tabs>
              <w:tab w:val="left" w:pos="981"/>
              <w:tab w:val="right" w:leader="dot" w:pos="9120"/>
            </w:tabs>
            <w:spacing w:before="122"/>
            <w:rPr>
              <w:b w:val="0"/>
            </w:rPr>
          </w:pPr>
          <w:hyperlink w:anchor="_bookmark15" w:history="1">
            <w:r w:rsidRPr="008733AC">
              <w:t>Kunnen marktdeelnemer land opnemen waar de grondstof niet werd geproduceerd?</w:t>
            </w:r>
            <w:r w:rsidRPr="008733AC">
              <w:tab/>
            </w:r>
            <w:r w:rsidRPr="008733AC">
              <w:rPr>
                <w:b w:val="0"/>
              </w:rPr>
              <w:t>9</w:t>
            </w:r>
          </w:hyperlink>
        </w:p>
        <w:p w14:paraId="4B32562B" w14:textId="77777777" w:rsidR="002B78A6" w:rsidRPr="008733AC" w:rsidRDefault="00000000">
          <w:pPr>
            <w:pStyle w:val="Inhopg2"/>
            <w:numPr>
              <w:ilvl w:val="0"/>
              <w:numId w:val="3"/>
            </w:numPr>
            <w:tabs>
              <w:tab w:val="left" w:pos="981"/>
              <w:tab w:val="right" w:leader="dot" w:pos="9120"/>
            </w:tabs>
            <w:rPr>
              <w:b w:val="0"/>
            </w:rPr>
          </w:pPr>
          <w:hyperlink w:anchor="_bookmark16" w:history="1">
            <w:r w:rsidRPr="008733AC">
              <w:t>Hoe zullen claims op basis van geolocatie in de praktijk worden gecontroleerd?</w:t>
            </w:r>
            <w:r w:rsidRPr="008733AC">
              <w:tab/>
            </w:r>
            <w:r w:rsidRPr="008733AC">
              <w:rPr>
                <w:b w:val="0"/>
              </w:rPr>
              <w:t>9</w:t>
            </w:r>
          </w:hyperlink>
        </w:p>
        <w:p w14:paraId="6520990B" w14:textId="77777777" w:rsidR="002B78A6" w:rsidRPr="008733AC" w:rsidRDefault="00000000">
          <w:pPr>
            <w:pStyle w:val="Inhopg2"/>
            <w:numPr>
              <w:ilvl w:val="0"/>
              <w:numId w:val="3"/>
            </w:numPr>
            <w:tabs>
              <w:tab w:val="left" w:pos="981"/>
              <w:tab w:val="right" w:leader="dot" w:pos="9121"/>
            </w:tabs>
            <w:spacing w:before="121"/>
            <w:rPr>
              <w:b w:val="0"/>
            </w:rPr>
          </w:pPr>
          <w:hyperlink w:anchor="_bookmark17" w:history="1">
            <w:r w:rsidRPr="008733AC">
              <w:t>Hoe zal de EU de geldigheid van een 'ontbossingsvrij'-claim controleren?</w:t>
            </w:r>
            <w:r w:rsidRPr="008733AC">
              <w:tab/>
            </w:r>
            <w:r w:rsidRPr="008733AC">
              <w:rPr>
                <w:b w:val="0"/>
              </w:rPr>
              <w:t>10</w:t>
            </w:r>
          </w:hyperlink>
        </w:p>
        <w:p w14:paraId="2E9C2AA4" w14:textId="77777777" w:rsidR="002B78A6" w:rsidRPr="008733AC" w:rsidRDefault="00000000">
          <w:pPr>
            <w:pStyle w:val="Inhopg2"/>
            <w:numPr>
              <w:ilvl w:val="0"/>
              <w:numId w:val="3"/>
            </w:numPr>
            <w:tabs>
              <w:tab w:val="left" w:pos="981"/>
              <w:tab w:val="right" w:leader="dot" w:pos="9121"/>
            </w:tabs>
            <w:spacing w:before="123"/>
            <w:rPr>
              <w:b w:val="0"/>
            </w:rPr>
          </w:pPr>
          <w:hyperlink w:anchor="_bookmark18" w:history="1">
            <w:r w:rsidRPr="008733AC">
              <w:t>Zullen de bevoegde autoriteiten de definities uit de Verordening gebruiken?</w:t>
            </w:r>
            <w:r w:rsidRPr="008733AC">
              <w:tab/>
            </w:r>
            <w:r w:rsidRPr="008733AC">
              <w:rPr>
                <w:b w:val="0"/>
              </w:rPr>
              <w:t>10</w:t>
            </w:r>
          </w:hyperlink>
        </w:p>
        <w:p w14:paraId="381CA1C8" w14:textId="77777777" w:rsidR="002B78A6" w:rsidRPr="008733AC" w:rsidRDefault="00000000">
          <w:pPr>
            <w:pStyle w:val="Inhopg2"/>
            <w:numPr>
              <w:ilvl w:val="0"/>
              <w:numId w:val="3"/>
            </w:numPr>
            <w:tabs>
              <w:tab w:val="left" w:pos="981"/>
              <w:tab w:val="right" w:leader="dot" w:pos="9121"/>
            </w:tabs>
            <w:rPr>
              <w:b w:val="0"/>
            </w:rPr>
          </w:pPr>
          <w:hyperlink w:anchor="_bookmark19" w:history="1">
            <w:r w:rsidRPr="008733AC">
              <w:t>Hoe moeten polygonen in het shapefile-formaat worden aangegeven?</w:t>
            </w:r>
            <w:r w:rsidRPr="008733AC">
              <w:tab/>
            </w:r>
            <w:r w:rsidRPr="008733AC">
              <w:rPr>
                <w:b w:val="0"/>
              </w:rPr>
              <w:t>10</w:t>
            </w:r>
          </w:hyperlink>
        </w:p>
        <w:p w14:paraId="3D774515" w14:textId="77777777" w:rsidR="002B78A6" w:rsidRPr="008733AC" w:rsidRDefault="00000000">
          <w:pPr>
            <w:pStyle w:val="Inhopg2"/>
            <w:numPr>
              <w:ilvl w:val="0"/>
              <w:numId w:val="3"/>
            </w:numPr>
            <w:tabs>
              <w:tab w:val="left" w:pos="981"/>
              <w:tab w:val="right" w:leader="dot" w:pos="9121"/>
            </w:tabs>
            <w:spacing w:before="123"/>
            <w:rPr>
              <w:b w:val="0"/>
            </w:rPr>
          </w:pPr>
          <w:hyperlink w:anchor="_bookmark20" w:history="1">
            <w:r w:rsidRPr="008733AC">
              <w:t>Wat is traceerbaarheid van de toeleveringsketen?</w:t>
            </w:r>
            <w:r w:rsidRPr="008733AC">
              <w:tab/>
            </w:r>
            <w:r w:rsidRPr="008733AC">
              <w:rPr>
                <w:b w:val="0"/>
              </w:rPr>
              <w:t>10</w:t>
            </w:r>
          </w:hyperlink>
        </w:p>
        <w:p w14:paraId="23A1FEC9" w14:textId="77777777" w:rsidR="002B78A6" w:rsidRPr="008733AC" w:rsidRDefault="00000000">
          <w:pPr>
            <w:pStyle w:val="Inhopg2"/>
            <w:numPr>
              <w:ilvl w:val="0"/>
              <w:numId w:val="3"/>
            </w:numPr>
            <w:tabs>
              <w:tab w:val="left" w:pos="981"/>
              <w:tab w:val="right" w:leader="dot" w:pos="9121"/>
            </w:tabs>
            <w:rPr>
              <w:b w:val="0"/>
            </w:rPr>
          </w:pPr>
          <w:hyperlink w:anchor="_bookmark21" w:history="1">
            <w:r w:rsidRPr="008733AC">
              <w:t>Hoe zal traceerbaarheid werken voor producten uit meerdere landen?</w:t>
            </w:r>
            <w:r w:rsidRPr="008733AC">
              <w:tab/>
            </w:r>
            <w:r w:rsidRPr="008733AC">
              <w:rPr>
                <w:b w:val="0"/>
              </w:rPr>
              <w:t>11</w:t>
            </w:r>
          </w:hyperlink>
        </w:p>
        <w:p w14:paraId="18B83BCA" w14:textId="77777777" w:rsidR="002B78A6" w:rsidRPr="008733AC" w:rsidRDefault="00000000">
          <w:pPr>
            <w:pStyle w:val="Inhopg2"/>
            <w:numPr>
              <w:ilvl w:val="0"/>
              <w:numId w:val="3"/>
            </w:numPr>
            <w:tabs>
              <w:tab w:val="left" w:pos="981"/>
              <w:tab w:val="right" w:leader="dot" w:pos="9121"/>
            </w:tabs>
            <w:spacing w:before="123"/>
            <w:rPr>
              <w:b w:val="0"/>
            </w:rPr>
          </w:pPr>
          <w:hyperlink w:anchor="_bookmark22" w:history="1">
            <w:r w:rsidRPr="008733AC">
              <w:t>Wat is de 'productiedatum of -tijdspanne'?</w:t>
            </w:r>
            <w:r w:rsidRPr="008733AC">
              <w:rPr>
                <w:rFonts w:ascii="Times New Roman" w:hAnsi="Times New Roman"/>
                <w:b w:val="0"/>
              </w:rPr>
              <w:tab/>
            </w:r>
            <w:r w:rsidRPr="008733AC">
              <w:rPr>
                <w:b w:val="0"/>
              </w:rPr>
              <w:t>11</w:t>
            </w:r>
          </w:hyperlink>
        </w:p>
        <w:p w14:paraId="6EDA74E5" w14:textId="77777777" w:rsidR="002B78A6" w:rsidRPr="008733AC" w:rsidRDefault="00000000">
          <w:pPr>
            <w:pStyle w:val="Inhopg2"/>
            <w:numPr>
              <w:ilvl w:val="0"/>
              <w:numId w:val="3"/>
            </w:numPr>
            <w:tabs>
              <w:tab w:val="left" w:pos="981"/>
              <w:tab w:val="right" w:leader="dot" w:pos="9121"/>
            </w:tabs>
            <w:rPr>
              <w:b w:val="0"/>
            </w:rPr>
          </w:pPr>
          <w:hyperlink w:anchor="_bookmark23" w:history="1">
            <w:r w:rsidRPr="008733AC">
              <w:t>Hoe werkt de traceerbaarheid voor runderen?</w:t>
            </w:r>
            <w:r w:rsidRPr="008733AC">
              <w:tab/>
            </w:r>
            <w:r w:rsidRPr="008733AC">
              <w:rPr>
                <w:b w:val="0"/>
              </w:rPr>
              <w:t>11</w:t>
            </w:r>
          </w:hyperlink>
        </w:p>
        <w:p w14:paraId="4DC35E17" w14:textId="77777777" w:rsidR="002B78A6" w:rsidRPr="008733AC" w:rsidRDefault="00000000">
          <w:pPr>
            <w:pStyle w:val="Inhopg2"/>
            <w:numPr>
              <w:ilvl w:val="0"/>
              <w:numId w:val="3"/>
            </w:numPr>
            <w:tabs>
              <w:tab w:val="left" w:pos="981"/>
              <w:tab w:val="right" w:leader="dot" w:pos="9121"/>
            </w:tabs>
            <w:rPr>
              <w:b w:val="0"/>
            </w:rPr>
          </w:pPr>
          <w:hyperlink w:anchor="_bookmark24" w:history="1">
            <w:r w:rsidRPr="008733AC">
              <w:t>Wat als toeleveranciers de vereiste informatie niet verstrekken?</w:t>
            </w:r>
            <w:r w:rsidRPr="008733AC">
              <w:tab/>
            </w:r>
            <w:r w:rsidRPr="008733AC">
              <w:rPr>
                <w:b w:val="0"/>
              </w:rPr>
              <w:t>12</w:t>
            </w:r>
          </w:hyperlink>
        </w:p>
        <w:p w14:paraId="5AFD7D95" w14:textId="77777777" w:rsidR="002B78A6" w:rsidRPr="008733AC" w:rsidRDefault="00000000">
          <w:pPr>
            <w:pStyle w:val="Inhopg2"/>
            <w:numPr>
              <w:ilvl w:val="0"/>
              <w:numId w:val="3"/>
            </w:numPr>
            <w:tabs>
              <w:tab w:val="left" w:pos="981"/>
              <w:tab w:val="right" w:leader="dot" w:pos="9121"/>
            </w:tabs>
            <w:spacing w:before="123"/>
            <w:rPr>
              <w:b w:val="0"/>
            </w:rPr>
          </w:pPr>
          <w:hyperlink w:anchor="_bookmark25" w:history="1">
            <w:r w:rsidRPr="008733AC">
              <w:t>Moeten er coördinaten worden meegedeeld voor percelen in landen met een laag risico?</w:t>
            </w:r>
            <w:r w:rsidRPr="008733AC">
              <w:tab/>
            </w:r>
            <w:r w:rsidRPr="008733AC">
              <w:rPr>
                <w:b w:val="0"/>
              </w:rPr>
              <w:t>12</w:t>
            </w:r>
          </w:hyperlink>
        </w:p>
        <w:p w14:paraId="49C7A62E" w14:textId="77777777" w:rsidR="002B78A6" w:rsidRPr="008733AC" w:rsidRDefault="00000000">
          <w:pPr>
            <w:pStyle w:val="Inhopg2"/>
            <w:numPr>
              <w:ilvl w:val="0"/>
              <w:numId w:val="3"/>
            </w:numPr>
            <w:tabs>
              <w:tab w:val="left" w:pos="981"/>
              <w:tab w:val="right" w:leader="dot" w:pos="9121"/>
            </w:tabs>
            <w:rPr>
              <w:b w:val="0"/>
            </w:rPr>
          </w:pPr>
          <w:hyperlink w:anchor="_bookmark26" w:history="1">
            <w:r w:rsidRPr="008733AC">
              <w:t>Is de wettigheidsvereiste van toepassing op ontbossingsvrij land?</w:t>
            </w:r>
            <w:r w:rsidRPr="008733AC">
              <w:tab/>
            </w:r>
            <w:r w:rsidRPr="008733AC">
              <w:rPr>
                <w:b w:val="0"/>
              </w:rPr>
              <w:t>12</w:t>
            </w:r>
          </w:hyperlink>
        </w:p>
        <w:p w14:paraId="0B3EFF84" w14:textId="77777777" w:rsidR="002B78A6" w:rsidRPr="008733AC" w:rsidRDefault="00000000">
          <w:pPr>
            <w:pStyle w:val="Inhopg2"/>
            <w:numPr>
              <w:ilvl w:val="0"/>
              <w:numId w:val="3"/>
            </w:numPr>
            <w:tabs>
              <w:tab w:val="left" w:pos="981"/>
              <w:tab w:val="right" w:leader="dot" w:pos="9121"/>
            </w:tabs>
            <w:spacing w:before="123"/>
            <w:rPr>
              <w:b w:val="0"/>
            </w:rPr>
          </w:pPr>
          <w:hyperlink w:anchor="_bookmark27" w:history="1">
            <w:r w:rsidRPr="008733AC">
              <w:t>Zijn er verplichtingen voor niet-EU-landen?</w:t>
            </w:r>
            <w:r w:rsidRPr="008733AC">
              <w:tab/>
            </w:r>
            <w:r w:rsidRPr="008733AC">
              <w:rPr>
                <w:b w:val="0"/>
              </w:rPr>
              <w:t>12</w:t>
            </w:r>
          </w:hyperlink>
        </w:p>
        <w:p w14:paraId="0ADD2567" w14:textId="77777777" w:rsidR="002B78A6" w:rsidRPr="008733AC" w:rsidRDefault="00000000">
          <w:pPr>
            <w:pStyle w:val="Inhopg1"/>
            <w:tabs>
              <w:tab w:val="right" w:leader="dot" w:pos="9118"/>
            </w:tabs>
            <w:spacing w:before="121"/>
          </w:pPr>
          <w:hyperlink w:anchor="_bookmark28" w:history="1">
            <w:r w:rsidRPr="008733AC">
              <w:t>Toepassingsgebied</w:t>
            </w:r>
            <w:r w:rsidRPr="008733AC">
              <w:tab/>
              <w:t>12</w:t>
            </w:r>
          </w:hyperlink>
        </w:p>
        <w:p w14:paraId="60F0879B" w14:textId="77777777" w:rsidR="002B78A6" w:rsidRPr="008733AC" w:rsidRDefault="00000000">
          <w:pPr>
            <w:pStyle w:val="Inhopg2"/>
            <w:numPr>
              <w:ilvl w:val="0"/>
              <w:numId w:val="3"/>
            </w:numPr>
            <w:tabs>
              <w:tab w:val="left" w:pos="981"/>
              <w:tab w:val="right" w:leader="dot" w:pos="9121"/>
            </w:tabs>
            <w:spacing w:before="126"/>
            <w:rPr>
              <w:b w:val="0"/>
            </w:rPr>
          </w:pPr>
          <w:hyperlink w:anchor="_bookmark29" w:history="1">
            <w:r w:rsidRPr="008733AC">
              <w:t>Op welke producten heeft de Verordening betrekking?</w:t>
            </w:r>
            <w:r w:rsidRPr="008733AC">
              <w:tab/>
            </w:r>
            <w:r w:rsidRPr="008733AC">
              <w:rPr>
                <w:b w:val="0"/>
              </w:rPr>
              <w:t>12</w:t>
            </w:r>
          </w:hyperlink>
        </w:p>
        <w:p w14:paraId="068F1F14" w14:textId="77777777" w:rsidR="002B78A6" w:rsidRPr="008733AC" w:rsidRDefault="00000000">
          <w:pPr>
            <w:pStyle w:val="Inhopg2"/>
            <w:numPr>
              <w:ilvl w:val="0"/>
              <w:numId w:val="3"/>
            </w:numPr>
            <w:tabs>
              <w:tab w:val="left" w:pos="981"/>
              <w:tab w:val="right" w:leader="dot" w:pos="9121"/>
            </w:tabs>
            <w:spacing w:before="122"/>
            <w:rPr>
              <w:b w:val="0"/>
            </w:rPr>
          </w:pPr>
          <w:hyperlink w:anchor="_bookmark30" w:history="1">
            <w:r w:rsidRPr="008733AC">
              <w:t>Wat met in de Verordening vermelde producten die de vermelde grondstoffen niet bevatten?</w:t>
            </w:r>
            <w:r w:rsidRPr="008733AC">
              <w:tab/>
            </w:r>
            <w:r w:rsidRPr="008733AC">
              <w:rPr>
                <w:b w:val="0"/>
              </w:rPr>
              <w:t>13</w:t>
            </w:r>
          </w:hyperlink>
        </w:p>
        <w:p w14:paraId="3BA7E69B" w14:textId="77777777" w:rsidR="002B78A6" w:rsidRPr="008733AC" w:rsidRDefault="00000000">
          <w:pPr>
            <w:pStyle w:val="Inhopg2"/>
            <w:numPr>
              <w:ilvl w:val="0"/>
              <w:numId w:val="3"/>
            </w:numPr>
            <w:tabs>
              <w:tab w:val="left" w:pos="981"/>
              <w:tab w:val="right" w:leader="dot" w:pos="9121"/>
            </w:tabs>
            <w:spacing w:before="121"/>
            <w:rPr>
              <w:b w:val="0"/>
            </w:rPr>
          </w:pPr>
          <w:hyperlink w:anchor="_bookmark31" w:history="1">
            <w:r w:rsidRPr="008733AC">
              <w:t>Is de Verordening van toepassing ongeacht de hoeveelheid of de waarde?</w:t>
            </w:r>
            <w:r w:rsidRPr="008733AC">
              <w:tab/>
            </w:r>
            <w:r w:rsidRPr="008733AC">
              <w:rPr>
                <w:b w:val="0"/>
              </w:rPr>
              <w:t>13</w:t>
            </w:r>
          </w:hyperlink>
        </w:p>
        <w:p w14:paraId="3346A5D2" w14:textId="77777777" w:rsidR="002B78A6" w:rsidRPr="008733AC" w:rsidRDefault="00000000">
          <w:pPr>
            <w:pStyle w:val="Inhopg2"/>
            <w:numPr>
              <w:ilvl w:val="0"/>
              <w:numId w:val="3"/>
            </w:numPr>
            <w:tabs>
              <w:tab w:val="left" w:pos="981"/>
              <w:tab w:val="right" w:leader="dot" w:pos="9121"/>
            </w:tabs>
            <w:spacing w:before="122"/>
            <w:rPr>
              <w:b w:val="0"/>
            </w:rPr>
          </w:pPr>
          <w:hyperlink w:anchor="_bookmark32" w:history="1">
            <w:r w:rsidRPr="008733AC">
              <w:t>Wat met producten die in de EU zijn geproduceerd?</w:t>
            </w:r>
            <w:r w:rsidRPr="008733AC">
              <w:tab/>
            </w:r>
            <w:r w:rsidRPr="008733AC">
              <w:rPr>
                <w:b w:val="0"/>
              </w:rPr>
              <w:t>13</w:t>
            </w:r>
          </w:hyperlink>
        </w:p>
        <w:p w14:paraId="38543724" w14:textId="77777777" w:rsidR="002B78A6" w:rsidRPr="008733AC" w:rsidRDefault="00000000">
          <w:pPr>
            <w:pStyle w:val="Inhopg2"/>
            <w:numPr>
              <w:ilvl w:val="0"/>
              <w:numId w:val="3"/>
            </w:numPr>
            <w:tabs>
              <w:tab w:val="left" w:pos="981"/>
              <w:tab w:val="right" w:leader="dot" w:pos="9121"/>
            </w:tabs>
            <w:spacing w:after="20"/>
            <w:rPr>
              <w:b w:val="0"/>
            </w:rPr>
          </w:pPr>
          <w:hyperlink w:anchor="_bookmark33" w:history="1">
            <w:r w:rsidRPr="008733AC">
              <w:t>Hoe is de Verordening van toepassing op hout dat wordt gebruikt als verpakkingsmateriaal?</w:t>
            </w:r>
            <w:r w:rsidRPr="008733AC">
              <w:tab/>
            </w:r>
            <w:r w:rsidRPr="008733AC">
              <w:rPr>
                <w:b w:val="0"/>
              </w:rPr>
              <w:t>14</w:t>
            </w:r>
          </w:hyperlink>
        </w:p>
        <w:p w14:paraId="11D42F5B" w14:textId="77777777" w:rsidR="002B78A6" w:rsidRPr="008733AC" w:rsidRDefault="00000000">
          <w:pPr>
            <w:pStyle w:val="Inhopg2"/>
            <w:numPr>
              <w:ilvl w:val="0"/>
              <w:numId w:val="3"/>
            </w:numPr>
            <w:tabs>
              <w:tab w:val="left" w:pos="981"/>
              <w:tab w:val="right" w:leader="dot" w:pos="9121"/>
            </w:tabs>
            <w:spacing w:before="41"/>
            <w:rPr>
              <w:b w:val="0"/>
            </w:rPr>
          </w:pPr>
          <w:hyperlink w:anchor="_bookmark34" w:history="1">
            <w:r w:rsidRPr="008733AC">
              <w:t>Behoort alle gerecycled papier/karton tot het toepassingsgebied?</w:t>
            </w:r>
            <w:r w:rsidRPr="008733AC">
              <w:tab/>
            </w:r>
            <w:r w:rsidRPr="008733AC">
              <w:rPr>
                <w:b w:val="0"/>
              </w:rPr>
              <w:t>14</w:t>
            </w:r>
          </w:hyperlink>
        </w:p>
        <w:p w14:paraId="14297048" w14:textId="77777777" w:rsidR="002B78A6" w:rsidRPr="008733AC" w:rsidRDefault="00000000">
          <w:pPr>
            <w:pStyle w:val="Inhopg2"/>
            <w:numPr>
              <w:ilvl w:val="0"/>
              <w:numId w:val="3"/>
            </w:numPr>
            <w:tabs>
              <w:tab w:val="left" w:pos="981"/>
              <w:tab w:val="right" w:leader="dot" w:pos="9121"/>
            </w:tabs>
            <w:rPr>
              <w:b w:val="0"/>
            </w:rPr>
          </w:pPr>
          <w:hyperlink w:anchor="_bookmark35" w:history="1">
            <w:r w:rsidRPr="008733AC">
              <w:t>Wat zijn GN- en GS-codes en hoe moeten ze worden gebruikt?</w:t>
            </w:r>
            <w:r w:rsidRPr="008733AC">
              <w:tab/>
            </w:r>
            <w:r w:rsidRPr="008733AC">
              <w:rPr>
                <w:b w:val="0"/>
              </w:rPr>
              <w:t>14</w:t>
            </w:r>
          </w:hyperlink>
        </w:p>
        <w:p w14:paraId="14C532CE" w14:textId="77777777" w:rsidR="002B78A6" w:rsidRPr="008733AC" w:rsidRDefault="00000000">
          <w:pPr>
            <w:pStyle w:val="Inhopg1"/>
            <w:tabs>
              <w:tab w:val="right" w:leader="dot" w:pos="9118"/>
            </w:tabs>
          </w:pPr>
          <w:hyperlink w:anchor="_bookmark36" w:history="1">
            <w:r w:rsidRPr="008733AC">
              <w:t>Dragers van verplichtingen</w:t>
            </w:r>
            <w:r w:rsidRPr="008733AC">
              <w:tab/>
              <w:t>15</w:t>
            </w:r>
          </w:hyperlink>
        </w:p>
        <w:p w14:paraId="6C3AC899" w14:textId="77777777" w:rsidR="002B78A6" w:rsidRPr="008733AC" w:rsidRDefault="00000000">
          <w:pPr>
            <w:pStyle w:val="Inhopg2"/>
            <w:numPr>
              <w:ilvl w:val="0"/>
              <w:numId w:val="3"/>
            </w:numPr>
            <w:tabs>
              <w:tab w:val="left" w:pos="981"/>
              <w:tab w:val="right" w:leader="dot" w:pos="9121"/>
            </w:tabs>
            <w:spacing w:before="126"/>
            <w:rPr>
              <w:b w:val="0"/>
            </w:rPr>
          </w:pPr>
          <w:hyperlink w:anchor="_bookmark37" w:history="1">
            <w:r w:rsidRPr="008733AC">
              <w:t>Wie wordt beschouwd als een marktdeelnemer?</w:t>
            </w:r>
            <w:r w:rsidRPr="008733AC">
              <w:tab/>
            </w:r>
            <w:r w:rsidRPr="008733AC">
              <w:rPr>
                <w:b w:val="0"/>
              </w:rPr>
              <w:t>15</w:t>
            </w:r>
          </w:hyperlink>
        </w:p>
        <w:p w14:paraId="262E8587" w14:textId="77777777" w:rsidR="002B78A6" w:rsidRPr="008733AC" w:rsidRDefault="00000000">
          <w:pPr>
            <w:pStyle w:val="Inhopg2"/>
            <w:numPr>
              <w:ilvl w:val="0"/>
              <w:numId w:val="3"/>
            </w:numPr>
            <w:tabs>
              <w:tab w:val="left" w:pos="981"/>
              <w:tab w:val="right" w:leader="dot" w:pos="9121"/>
            </w:tabs>
            <w:spacing w:before="123"/>
            <w:rPr>
              <w:b w:val="0"/>
            </w:rPr>
          </w:pPr>
          <w:hyperlink w:anchor="_bookmark38" w:history="1">
            <w:r w:rsidRPr="008733AC">
              <w:t>Wat betekent 'in het kader van een handelsactiviteit'?</w:t>
            </w:r>
            <w:r w:rsidRPr="008733AC">
              <w:rPr>
                <w:rFonts w:ascii="Times New Roman" w:hAnsi="Times New Roman"/>
                <w:b w:val="0"/>
              </w:rPr>
              <w:tab/>
            </w:r>
            <w:r w:rsidRPr="008733AC">
              <w:rPr>
                <w:b w:val="0"/>
              </w:rPr>
              <w:t>16</w:t>
            </w:r>
          </w:hyperlink>
        </w:p>
        <w:p w14:paraId="61C54DE7" w14:textId="77777777" w:rsidR="002B78A6" w:rsidRPr="008733AC" w:rsidRDefault="00000000">
          <w:pPr>
            <w:pStyle w:val="Inhopg2"/>
            <w:numPr>
              <w:ilvl w:val="0"/>
              <w:numId w:val="3"/>
            </w:numPr>
            <w:tabs>
              <w:tab w:val="left" w:pos="981"/>
              <w:tab w:val="right" w:leader="dot" w:pos="9121"/>
            </w:tabs>
            <w:rPr>
              <w:b w:val="0"/>
            </w:rPr>
          </w:pPr>
          <w:hyperlink w:anchor="_bookmark39" w:history="1">
            <w:r w:rsidRPr="008733AC">
              <w:t>Wat betekent 'relevante wetgeving van het land van productie'?</w:t>
            </w:r>
            <w:r w:rsidRPr="008733AC">
              <w:rPr>
                <w:rFonts w:ascii="Times New Roman" w:hAnsi="Times New Roman"/>
                <w:b w:val="0"/>
              </w:rPr>
              <w:tab/>
            </w:r>
            <w:r w:rsidRPr="008733AC">
              <w:rPr>
                <w:b w:val="0"/>
              </w:rPr>
              <w:t>16</w:t>
            </w:r>
          </w:hyperlink>
        </w:p>
        <w:p w14:paraId="694A8A28" w14:textId="77777777" w:rsidR="002B78A6" w:rsidRPr="008733AC" w:rsidRDefault="00000000">
          <w:pPr>
            <w:pStyle w:val="Inhopg2"/>
            <w:numPr>
              <w:ilvl w:val="0"/>
              <w:numId w:val="3"/>
            </w:numPr>
            <w:tabs>
              <w:tab w:val="left" w:pos="981"/>
              <w:tab w:val="right" w:leader="dot" w:pos="9121"/>
            </w:tabs>
            <w:rPr>
              <w:b w:val="0"/>
            </w:rPr>
          </w:pPr>
          <w:hyperlink w:anchor="_bookmark40" w:history="1">
            <w:r w:rsidRPr="008733AC">
              <w:t>Wat zijn de verplichtingen van marktdeelnemers stroomafwaarts in de toeleveringsketen?</w:t>
            </w:r>
            <w:r w:rsidRPr="008733AC">
              <w:tab/>
            </w:r>
            <w:r w:rsidRPr="008733AC">
              <w:rPr>
                <w:b w:val="0"/>
              </w:rPr>
              <w:t>16</w:t>
            </w:r>
          </w:hyperlink>
        </w:p>
        <w:p w14:paraId="6BA3084E" w14:textId="77777777" w:rsidR="002B78A6" w:rsidRPr="008733AC" w:rsidRDefault="00000000">
          <w:pPr>
            <w:pStyle w:val="Inhopg2"/>
            <w:numPr>
              <w:ilvl w:val="0"/>
              <w:numId w:val="3"/>
            </w:numPr>
            <w:tabs>
              <w:tab w:val="left" w:pos="981"/>
              <w:tab w:val="right" w:leader="dot" w:pos="9121"/>
            </w:tabs>
            <w:spacing w:before="123"/>
            <w:rPr>
              <w:b w:val="0"/>
            </w:rPr>
          </w:pPr>
          <w:hyperlink w:anchor="_bookmark41" w:history="1">
            <w:r w:rsidRPr="008733AC">
              <w:t>Hoe is de Verordening van toepassing op uitvoer?</w:t>
            </w:r>
            <w:r w:rsidRPr="008733AC">
              <w:tab/>
            </w:r>
            <w:r w:rsidRPr="008733AC">
              <w:rPr>
                <w:b w:val="0"/>
              </w:rPr>
              <w:t>17</w:t>
            </w:r>
          </w:hyperlink>
        </w:p>
        <w:p w14:paraId="68828820" w14:textId="77777777" w:rsidR="002B78A6" w:rsidRPr="008733AC" w:rsidRDefault="00000000">
          <w:pPr>
            <w:pStyle w:val="Inhopg2"/>
            <w:numPr>
              <w:ilvl w:val="0"/>
              <w:numId w:val="3"/>
            </w:numPr>
            <w:tabs>
              <w:tab w:val="left" w:pos="981"/>
              <w:tab w:val="right" w:leader="dot" w:pos="9121"/>
            </w:tabs>
            <w:rPr>
              <w:b w:val="0"/>
            </w:rPr>
          </w:pPr>
          <w:hyperlink w:anchor="_bookmark42" w:history="1">
            <w:r w:rsidRPr="008733AC">
              <w:t>Welke bedrijven zijn niet-kmo-handelaren en wat zijn hun verplichtingen?</w:t>
            </w:r>
            <w:r w:rsidRPr="008733AC">
              <w:tab/>
            </w:r>
            <w:r w:rsidRPr="008733AC">
              <w:rPr>
                <w:b w:val="0"/>
              </w:rPr>
              <w:t>17</w:t>
            </w:r>
          </w:hyperlink>
        </w:p>
        <w:p w14:paraId="72AD3420" w14:textId="77777777" w:rsidR="002B78A6" w:rsidRPr="008733AC" w:rsidRDefault="00000000">
          <w:pPr>
            <w:pStyle w:val="Inhopg2"/>
            <w:numPr>
              <w:ilvl w:val="0"/>
              <w:numId w:val="3"/>
            </w:numPr>
            <w:tabs>
              <w:tab w:val="left" w:pos="981"/>
              <w:tab w:val="right" w:leader="dot" w:pos="9121"/>
            </w:tabs>
            <w:spacing w:before="123"/>
            <w:rPr>
              <w:b w:val="0"/>
            </w:rPr>
          </w:pPr>
          <w:hyperlink w:anchor="_bookmark43" w:history="1">
            <w:r w:rsidRPr="008733AC">
              <w:t>Wie is aansprakelijk in het geval van inbreuk op de Verordening?</w:t>
            </w:r>
            <w:r w:rsidRPr="008733AC">
              <w:tab/>
            </w:r>
            <w:r w:rsidRPr="008733AC">
              <w:rPr>
                <w:b w:val="0"/>
              </w:rPr>
              <w:t>17</w:t>
            </w:r>
          </w:hyperlink>
        </w:p>
        <w:p w14:paraId="79B59D2B" w14:textId="77777777" w:rsidR="002B78A6" w:rsidRPr="008733AC" w:rsidRDefault="00000000">
          <w:pPr>
            <w:pStyle w:val="Inhopg2"/>
            <w:numPr>
              <w:ilvl w:val="0"/>
              <w:numId w:val="3"/>
            </w:numPr>
            <w:tabs>
              <w:tab w:val="left" w:pos="981"/>
              <w:tab w:val="right" w:leader="dot" w:pos="9121"/>
            </w:tabs>
            <w:spacing w:before="121"/>
            <w:rPr>
              <w:b w:val="0"/>
            </w:rPr>
          </w:pPr>
          <w:hyperlink w:anchor="_bookmark44" w:history="1">
            <w:r w:rsidRPr="008733AC">
              <w:t>Wie is de marktdeelnemer in het geval van niet-gevelde bomen of kaprechten?</w:t>
            </w:r>
            <w:r w:rsidRPr="008733AC">
              <w:tab/>
            </w:r>
            <w:r w:rsidRPr="008733AC">
              <w:rPr>
                <w:b w:val="0"/>
              </w:rPr>
              <w:t>18</w:t>
            </w:r>
          </w:hyperlink>
        </w:p>
        <w:p w14:paraId="475B6A0A" w14:textId="77777777" w:rsidR="002B78A6" w:rsidRPr="008733AC" w:rsidRDefault="00000000">
          <w:pPr>
            <w:pStyle w:val="Inhopg1"/>
            <w:tabs>
              <w:tab w:val="right" w:leader="dot" w:pos="9118"/>
            </w:tabs>
          </w:pPr>
          <w:hyperlink w:anchor="_bookmark45" w:history="1">
            <w:r w:rsidRPr="008733AC">
              <w:t>Definities</w:t>
            </w:r>
            <w:r w:rsidRPr="008733AC">
              <w:tab/>
              <w:t>18</w:t>
            </w:r>
          </w:hyperlink>
        </w:p>
        <w:p w14:paraId="18FFDF5F" w14:textId="77777777" w:rsidR="002B78A6" w:rsidRPr="008733AC" w:rsidRDefault="00000000">
          <w:pPr>
            <w:pStyle w:val="Inhopg2"/>
            <w:numPr>
              <w:ilvl w:val="0"/>
              <w:numId w:val="3"/>
            </w:numPr>
            <w:tabs>
              <w:tab w:val="left" w:pos="981"/>
              <w:tab w:val="right" w:leader="dot" w:pos="9121"/>
            </w:tabs>
            <w:spacing w:before="125"/>
            <w:rPr>
              <w:b w:val="0"/>
            </w:rPr>
          </w:pPr>
          <w:hyperlink w:anchor="_bookmark46" w:history="1">
            <w:r w:rsidRPr="008733AC">
              <w:t>Wat betekent 'wereldwijde ontbossing'?</w:t>
            </w:r>
            <w:r w:rsidRPr="008733AC">
              <w:rPr>
                <w:rFonts w:ascii="Times New Roman" w:hAnsi="Times New Roman"/>
                <w:b w:val="0"/>
              </w:rPr>
              <w:tab/>
            </w:r>
            <w:r w:rsidRPr="008733AC">
              <w:rPr>
                <w:b w:val="0"/>
              </w:rPr>
              <w:t>18</w:t>
            </w:r>
          </w:hyperlink>
        </w:p>
        <w:p w14:paraId="2B28FBE8" w14:textId="77777777" w:rsidR="002B78A6" w:rsidRPr="008733AC" w:rsidRDefault="00000000">
          <w:pPr>
            <w:pStyle w:val="Inhopg2"/>
            <w:numPr>
              <w:ilvl w:val="0"/>
              <w:numId w:val="3"/>
            </w:numPr>
            <w:tabs>
              <w:tab w:val="left" w:pos="981"/>
              <w:tab w:val="right" w:leader="dot" w:pos="9121"/>
            </w:tabs>
            <w:spacing w:before="121"/>
            <w:rPr>
              <w:b w:val="0"/>
            </w:rPr>
          </w:pPr>
          <w:hyperlink w:anchor="_bookmark47" w:history="1">
            <w:r w:rsidRPr="008733AC">
              <w:t>Aan welke criteria moet hout voldoen?</w:t>
            </w:r>
            <w:r w:rsidRPr="008733AC">
              <w:tab/>
            </w:r>
            <w:r w:rsidRPr="008733AC">
              <w:rPr>
                <w:b w:val="0"/>
              </w:rPr>
              <w:t>18</w:t>
            </w:r>
          </w:hyperlink>
        </w:p>
        <w:p w14:paraId="5E54B631" w14:textId="77777777" w:rsidR="002B78A6" w:rsidRPr="008733AC" w:rsidRDefault="00000000">
          <w:pPr>
            <w:pStyle w:val="Inhopg2"/>
            <w:numPr>
              <w:ilvl w:val="0"/>
              <w:numId w:val="3"/>
            </w:numPr>
            <w:tabs>
              <w:tab w:val="left" w:pos="981"/>
              <w:tab w:val="right" w:leader="dot" w:pos="9121"/>
            </w:tabs>
            <w:spacing w:before="122"/>
            <w:rPr>
              <w:b w:val="0"/>
            </w:rPr>
          </w:pPr>
          <w:hyperlink w:anchor="_bookmark48" w:history="1">
            <w:r w:rsidRPr="008733AC">
              <w:t>Wat zijn de toegestane houtkapniveaus?</w:t>
            </w:r>
            <w:r w:rsidRPr="008733AC">
              <w:tab/>
            </w:r>
            <w:r w:rsidRPr="008733AC">
              <w:rPr>
                <w:b w:val="0"/>
              </w:rPr>
              <w:t>19</w:t>
            </w:r>
          </w:hyperlink>
        </w:p>
        <w:p w14:paraId="72DE5781" w14:textId="77777777" w:rsidR="002B78A6" w:rsidRPr="008733AC" w:rsidRDefault="00000000">
          <w:pPr>
            <w:pStyle w:val="Inhopg2"/>
            <w:numPr>
              <w:ilvl w:val="0"/>
              <w:numId w:val="3"/>
            </w:numPr>
            <w:tabs>
              <w:tab w:val="left" w:pos="981"/>
              <w:tab w:val="right" w:leader="dot" w:pos="9121"/>
            </w:tabs>
            <w:spacing w:before="121"/>
            <w:rPr>
              <w:b w:val="0"/>
            </w:rPr>
          </w:pPr>
          <w:hyperlink w:anchor="_bookmark49" w:history="1">
            <w:r w:rsidRPr="008733AC">
              <w:t>Zal 'bosdegradatie' een invloed hebben op bestaande systemen voor duurzaam bosbeheer?</w:t>
            </w:r>
            <w:r w:rsidRPr="008733AC">
              <w:rPr>
                <w:rFonts w:ascii="Times New Roman" w:hAnsi="Times New Roman"/>
                <w:b w:val="0"/>
              </w:rPr>
              <w:tab/>
            </w:r>
            <w:r w:rsidRPr="008733AC">
              <w:rPr>
                <w:b w:val="0"/>
              </w:rPr>
              <w:t>19</w:t>
            </w:r>
          </w:hyperlink>
        </w:p>
        <w:p w14:paraId="56CFEAAB" w14:textId="77777777" w:rsidR="002B78A6" w:rsidRPr="008733AC" w:rsidRDefault="00000000">
          <w:pPr>
            <w:pStyle w:val="Inhopg2"/>
            <w:numPr>
              <w:ilvl w:val="0"/>
              <w:numId w:val="3"/>
            </w:numPr>
            <w:tabs>
              <w:tab w:val="left" w:pos="981"/>
              <w:tab w:val="right" w:leader="dot" w:pos="9121"/>
            </w:tabs>
            <w:spacing w:before="122"/>
            <w:rPr>
              <w:b w:val="0"/>
            </w:rPr>
          </w:pPr>
          <w:hyperlink w:anchor="_bookmark50" w:history="1">
            <w:r w:rsidRPr="008733AC">
              <w:t>Hoe 'bomen die deze drempels op de groeiplaats kunnen bereiken' toe te passen?</w:t>
            </w:r>
            <w:r w:rsidRPr="008733AC">
              <w:rPr>
                <w:rFonts w:ascii="Times New Roman" w:hAnsi="Times New Roman"/>
                <w:b w:val="0"/>
              </w:rPr>
              <w:tab/>
            </w:r>
            <w:r w:rsidRPr="008733AC">
              <w:rPr>
                <w:b w:val="0"/>
              </w:rPr>
              <w:t>19</w:t>
            </w:r>
          </w:hyperlink>
        </w:p>
        <w:p w14:paraId="016A973D" w14:textId="77777777" w:rsidR="002B78A6" w:rsidRPr="008733AC" w:rsidRDefault="00000000">
          <w:pPr>
            <w:pStyle w:val="Inhopg2"/>
            <w:numPr>
              <w:ilvl w:val="0"/>
              <w:numId w:val="3"/>
            </w:numPr>
            <w:tabs>
              <w:tab w:val="left" w:pos="981"/>
              <w:tab w:val="right" w:leader="dot" w:pos="9121"/>
            </w:tabs>
            <w:spacing w:before="121"/>
            <w:rPr>
              <w:b w:val="0"/>
            </w:rPr>
          </w:pPr>
          <w:hyperlink w:anchor="_bookmark51" w:history="1">
            <w:r w:rsidRPr="008733AC">
              <w:t>Welke landgebruikverandering van bos is conform de Verordening?</w:t>
            </w:r>
            <w:r w:rsidRPr="008733AC">
              <w:rPr>
                <w:rFonts w:ascii="Times New Roman" w:hAnsi="Times New Roman"/>
                <w:b w:val="0"/>
              </w:rPr>
              <w:tab/>
            </w:r>
            <w:r w:rsidRPr="008733AC">
              <w:rPr>
                <w:b w:val="0"/>
              </w:rPr>
              <w:t>19</w:t>
            </w:r>
          </w:hyperlink>
        </w:p>
        <w:p w14:paraId="7138AEF6" w14:textId="77777777" w:rsidR="002B78A6" w:rsidRPr="008733AC" w:rsidRDefault="00000000">
          <w:pPr>
            <w:pStyle w:val="Inhopg2"/>
            <w:numPr>
              <w:ilvl w:val="0"/>
              <w:numId w:val="3"/>
            </w:numPr>
            <w:tabs>
              <w:tab w:val="left" w:pos="981"/>
              <w:tab w:val="right" w:leader="dot" w:pos="9121"/>
            </w:tabs>
            <w:rPr>
              <w:b w:val="0"/>
            </w:rPr>
          </w:pPr>
          <w:hyperlink w:anchor="_bookmark52" w:history="1">
            <w:r w:rsidRPr="008733AC">
              <w:t>Zou een natuurramp gelden als ontbossing?</w:t>
            </w:r>
            <w:r w:rsidRPr="008733AC">
              <w:rPr>
                <w:rFonts w:ascii="Times New Roman" w:hAnsi="Times New Roman"/>
                <w:b w:val="0"/>
              </w:rPr>
              <w:tab/>
            </w:r>
            <w:r w:rsidRPr="008733AC">
              <w:rPr>
                <w:b w:val="0"/>
              </w:rPr>
              <w:t>20</w:t>
            </w:r>
          </w:hyperlink>
        </w:p>
        <w:p w14:paraId="269D0F3A" w14:textId="77777777" w:rsidR="002B78A6" w:rsidRPr="008733AC" w:rsidRDefault="00000000">
          <w:pPr>
            <w:pStyle w:val="Inhopg2"/>
            <w:numPr>
              <w:ilvl w:val="0"/>
              <w:numId w:val="3"/>
            </w:numPr>
            <w:tabs>
              <w:tab w:val="left" w:pos="981"/>
              <w:tab w:val="right" w:leader="dot" w:pos="9121"/>
            </w:tabs>
            <w:spacing w:before="122"/>
            <w:rPr>
              <w:b w:val="0"/>
            </w:rPr>
          </w:pPr>
          <w:hyperlink w:anchor="_bookmark53" w:history="1">
            <w:r w:rsidRPr="008733AC">
              <w:t>Worden 'andere beboste gebieden' of andere ecosystemen ook opgenomen?</w:t>
            </w:r>
            <w:r w:rsidRPr="008733AC">
              <w:rPr>
                <w:rFonts w:ascii="Times New Roman" w:hAnsi="Times New Roman"/>
                <w:b w:val="0"/>
              </w:rPr>
              <w:tab/>
            </w:r>
            <w:r w:rsidRPr="008733AC">
              <w:rPr>
                <w:b w:val="0"/>
              </w:rPr>
              <w:t>20</w:t>
            </w:r>
          </w:hyperlink>
        </w:p>
        <w:p w14:paraId="725DECD3" w14:textId="77777777" w:rsidR="002B78A6" w:rsidRPr="008733AC" w:rsidRDefault="00000000">
          <w:pPr>
            <w:pStyle w:val="Inhopg1"/>
            <w:tabs>
              <w:tab w:val="right" w:leader="dot" w:pos="9118"/>
            </w:tabs>
            <w:spacing w:before="122"/>
          </w:pPr>
          <w:hyperlink w:anchor="_bookmark54" w:history="1">
            <w:r w:rsidRPr="008733AC">
              <w:t>Zorgvuldigheid</w:t>
            </w:r>
            <w:r w:rsidRPr="008733AC">
              <w:tab/>
              <w:t>20</w:t>
            </w:r>
          </w:hyperlink>
        </w:p>
        <w:p w14:paraId="185342CE" w14:textId="77777777" w:rsidR="002B78A6" w:rsidRPr="008733AC" w:rsidRDefault="00000000">
          <w:pPr>
            <w:pStyle w:val="Inhopg2"/>
            <w:numPr>
              <w:ilvl w:val="0"/>
              <w:numId w:val="3"/>
            </w:numPr>
            <w:tabs>
              <w:tab w:val="left" w:pos="981"/>
              <w:tab w:val="right" w:leader="dot" w:pos="9121"/>
            </w:tabs>
            <w:spacing w:before="128"/>
            <w:rPr>
              <w:b w:val="0"/>
            </w:rPr>
          </w:pPr>
          <w:hyperlink w:anchor="_bookmark55" w:history="1">
            <w:r w:rsidRPr="008733AC">
              <w:t>Wat zijn mijn verplichtingen als EU-marktdeelnemer?</w:t>
            </w:r>
            <w:r w:rsidRPr="008733AC">
              <w:tab/>
            </w:r>
            <w:r w:rsidRPr="008733AC">
              <w:rPr>
                <w:b w:val="0"/>
              </w:rPr>
              <w:t>20</w:t>
            </w:r>
          </w:hyperlink>
        </w:p>
        <w:p w14:paraId="4D369EE5" w14:textId="77777777" w:rsidR="002B78A6" w:rsidRPr="008733AC" w:rsidRDefault="00000000">
          <w:pPr>
            <w:pStyle w:val="Inhopg2"/>
            <w:numPr>
              <w:ilvl w:val="0"/>
              <w:numId w:val="3"/>
            </w:numPr>
            <w:tabs>
              <w:tab w:val="left" w:pos="981"/>
              <w:tab w:val="right" w:leader="dot" w:pos="9121"/>
            </w:tabs>
            <w:rPr>
              <w:b w:val="0"/>
            </w:rPr>
          </w:pPr>
          <w:hyperlink w:anchor="_bookmark56" w:history="1">
            <w:r w:rsidRPr="008733AC">
              <w:t>Wat is een 'gemachtigde vertegenwoordiger'?</w:t>
            </w:r>
            <w:r w:rsidRPr="008733AC">
              <w:rPr>
                <w:rFonts w:ascii="Times New Roman" w:hAnsi="Times New Roman"/>
                <w:b w:val="0"/>
              </w:rPr>
              <w:tab/>
            </w:r>
            <w:r w:rsidRPr="008733AC">
              <w:rPr>
                <w:b w:val="0"/>
              </w:rPr>
              <w:t>21</w:t>
            </w:r>
          </w:hyperlink>
        </w:p>
        <w:p w14:paraId="437A8AA9" w14:textId="77777777" w:rsidR="002B78A6" w:rsidRPr="008733AC" w:rsidRDefault="00000000">
          <w:pPr>
            <w:pStyle w:val="Inhopg2"/>
            <w:numPr>
              <w:ilvl w:val="0"/>
              <w:numId w:val="3"/>
            </w:numPr>
            <w:tabs>
              <w:tab w:val="left" w:pos="981"/>
              <w:tab w:val="right" w:leader="dot" w:pos="9121"/>
            </w:tabs>
            <w:spacing w:before="123"/>
            <w:rPr>
              <w:b w:val="0"/>
            </w:rPr>
          </w:pPr>
          <w:hyperlink w:anchor="_bookmark57" w:history="1">
            <w:r w:rsidRPr="008733AC">
              <w:t>Kunnen bedrijven zorgvuldigheid betrachten namens dochterondernemingen?</w:t>
            </w:r>
            <w:r w:rsidRPr="008733AC">
              <w:rPr>
                <w:rFonts w:ascii="Times New Roman" w:hAnsi="Times New Roman"/>
                <w:b w:val="0"/>
              </w:rPr>
              <w:tab/>
            </w:r>
            <w:r w:rsidRPr="008733AC">
              <w:rPr>
                <w:b w:val="0"/>
              </w:rPr>
              <w:t>21</w:t>
            </w:r>
          </w:hyperlink>
        </w:p>
        <w:p w14:paraId="4F265C92" w14:textId="77777777" w:rsidR="002B78A6" w:rsidRPr="008733AC" w:rsidRDefault="00000000">
          <w:pPr>
            <w:pStyle w:val="Inhopg2"/>
            <w:numPr>
              <w:ilvl w:val="0"/>
              <w:numId w:val="3"/>
            </w:numPr>
            <w:tabs>
              <w:tab w:val="left" w:pos="981"/>
              <w:tab w:val="right" w:leader="dot" w:pos="9121"/>
            </w:tabs>
            <w:rPr>
              <w:b w:val="0"/>
            </w:rPr>
          </w:pPr>
          <w:hyperlink w:anchor="_bookmark58" w:history="1">
            <w:r w:rsidRPr="008733AC">
              <w:t>Wat met de wederinvoer van een product?</w:t>
            </w:r>
            <w:r w:rsidRPr="008733AC">
              <w:tab/>
            </w:r>
            <w:r w:rsidRPr="008733AC">
              <w:rPr>
                <w:b w:val="0"/>
              </w:rPr>
              <w:t>21</w:t>
            </w:r>
          </w:hyperlink>
        </w:p>
        <w:p w14:paraId="0DBA2B74" w14:textId="77777777" w:rsidR="002B78A6" w:rsidRPr="008733AC" w:rsidRDefault="00000000">
          <w:pPr>
            <w:pStyle w:val="Inhopg2"/>
            <w:numPr>
              <w:ilvl w:val="0"/>
              <w:numId w:val="3"/>
            </w:numPr>
            <w:tabs>
              <w:tab w:val="left" w:pos="981"/>
              <w:tab w:val="right" w:leader="dot" w:pos="9121"/>
            </w:tabs>
            <w:rPr>
              <w:b w:val="0"/>
            </w:rPr>
          </w:pPr>
          <w:hyperlink w:anchor="_bookmark59" w:history="1">
            <w:r w:rsidRPr="008733AC">
              <w:t>Op welke douaneprocedures heeft dit een effect?</w:t>
            </w:r>
            <w:r w:rsidRPr="008733AC">
              <w:tab/>
            </w:r>
            <w:r w:rsidRPr="008733AC">
              <w:rPr>
                <w:b w:val="0"/>
              </w:rPr>
              <w:t>22</w:t>
            </w:r>
          </w:hyperlink>
        </w:p>
        <w:p w14:paraId="3A21AF86" w14:textId="77777777" w:rsidR="002B78A6" w:rsidRPr="008733AC" w:rsidRDefault="00000000">
          <w:pPr>
            <w:pStyle w:val="Inhopg2"/>
            <w:numPr>
              <w:ilvl w:val="0"/>
              <w:numId w:val="3"/>
            </w:numPr>
            <w:tabs>
              <w:tab w:val="left" w:pos="981"/>
              <w:tab w:val="right" w:leader="dot" w:pos="9121"/>
            </w:tabs>
            <w:spacing w:before="123"/>
            <w:rPr>
              <w:b w:val="0"/>
            </w:rPr>
          </w:pPr>
          <w:hyperlink w:anchor="_bookmark60" w:history="1">
            <w:r w:rsidRPr="008733AC">
              <w:t>Welke rol hebben de certificerings- of verificatiesystemen?</w:t>
            </w:r>
            <w:r w:rsidRPr="008733AC">
              <w:rPr>
                <w:rFonts w:ascii="Times New Roman" w:hAnsi="Times New Roman"/>
                <w:b w:val="0"/>
              </w:rPr>
              <w:tab/>
            </w:r>
            <w:r w:rsidRPr="008733AC">
              <w:rPr>
                <w:b w:val="0"/>
              </w:rPr>
              <w:t>22</w:t>
            </w:r>
          </w:hyperlink>
        </w:p>
        <w:p w14:paraId="39576BDD" w14:textId="77777777" w:rsidR="002B78A6" w:rsidRPr="008733AC" w:rsidRDefault="00000000">
          <w:pPr>
            <w:pStyle w:val="Inhopg2"/>
            <w:numPr>
              <w:ilvl w:val="0"/>
              <w:numId w:val="3"/>
            </w:numPr>
            <w:tabs>
              <w:tab w:val="left" w:pos="981"/>
              <w:tab w:val="right" w:leader="dot" w:pos="9121"/>
            </w:tabs>
            <w:rPr>
              <w:b w:val="0"/>
            </w:rPr>
          </w:pPr>
          <w:hyperlink w:anchor="_bookmark61" w:history="1">
            <w:r w:rsidRPr="008733AC">
              <w:t>Hoe lang moet documentatie worden bewaard?</w:t>
            </w:r>
            <w:r w:rsidRPr="008733AC">
              <w:tab/>
            </w:r>
            <w:r w:rsidRPr="008733AC">
              <w:rPr>
                <w:b w:val="0"/>
              </w:rPr>
              <w:t>22</w:t>
            </w:r>
          </w:hyperlink>
        </w:p>
        <w:p w14:paraId="69D1E25C" w14:textId="77777777" w:rsidR="002B78A6" w:rsidRPr="008733AC" w:rsidRDefault="00000000">
          <w:pPr>
            <w:pStyle w:val="Inhopg2"/>
            <w:numPr>
              <w:ilvl w:val="0"/>
              <w:numId w:val="3"/>
            </w:numPr>
            <w:tabs>
              <w:tab w:val="left" w:pos="981"/>
              <w:tab w:val="right" w:leader="dot" w:pos="9121"/>
            </w:tabs>
            <w:spacing w:before="123"/>
            <w:rPr>
              <w:b w:val="0"/>
            </w:rPr>
          </w:pPr>
          <w:hyperlink w:anchor="_bookmark62" w:history="1">
            <w:r w:rsidRPr="008733AC">
              <w:t>Wat zijn de criteria voor 'producten met verwaarloosbaar risico'?</w:t>
            </w:r>
            <w:r w:rsidRPr="008733AC">
              <w:rPr>
                <w:rFonts w:ascii="Times New Roman" w:hAnsi="Times New Roman"/>
                <w:b w:val="0"/>
              </w:rPr>
              <w:tab/>
            </w:r>
            <w:r w:rsidRPr="008733AC">
              <w:rPr>
                <w:b w:val="0"/>
              </w:rPr>
              <w:t>22</w:t>
            </w:r>
          </w:hyperlink>
        </w:p>
        <w:p w14:paraId="33E5E4E6" w14:textId="77777777" w:rsidR="002B78A6" w:rsidRPr="008733AC" w:rsidRDefault="00000000">
          <w:pPr>
            <w:pStyle w:val="Inhopg2"/>
            <w:numPr>
              <w:ilvl w:val="0"/>
              <w:numId w:val="3"/>
            </w:numPr>
            <w:tabs>
              <w:tab w:val="left" w:pos="981"/>
              <w:tab w:val="right" w:leader="dot" w:pos="9121"/>
            </w:tabs>
            <w:rPr>
              <w:b w:val="0"/>
            </w:rPr>
          </w:pPr>
          <w:hyperlink w:anchor="_bookmark63" w:history="1">
            <w:r w:rsidRPr="008733AC">
              <w:t>Zijn 'producten met verwaarloosbaar risico' vrijgesteld?</w:t>
            </w:r>
            <w:r w:rsidRPr="008733AC">
              <w:rPr>
                <w:rFonts w:ascii="Times New Roman" w:hAnsi="Times New Roman"/>
                <w:b w:val="0"/>
              </w:rPr>
              <w:tab/>
            </w:r>
            <w:r w:rsidRPr="008733AC">
              <w:rPr>
                <w:b w:val="0"/>
              </w:rPr>
              <w:t>23</w:t>
            </w:r>
          </w:hyperlink>
        </w:p>
        <w:p w14:paraId="158B209A" w14:textId="77777777" w:rsidR="002B78A6" w:rsidRPr="008733AC" w:rsidRDefault="00000000">
          <w:pPr>
            <w:pStyle w:val="Inhopg2"/>
            <w:numPr>
              <w:ilvl w:val="0"/>
              <w:numId w:val="3"/>
            </w:numPr>
            <w:tabs>
              <w:tab w:val="left" w:pos="981"/>
              <w:tab w:val="right" w:leader="dot" w:pos="9121"/>
            </w:tabs>
            <w:spacing w:before="121"/>
            <w:rPr>
              <w:b w:val="0"/>
            </w:rPr>
          </w:pPr>
          <w:hyperlink w:anchor="_bookmark64" w:history="1">
            <w:r w:rsidRPr="008733AC">
              <w:t xml:space="preserve">Kunnen bepaalde grondstoffen uit een bepaald land als 'verwaarloosbaar risico' worden </w:t>
            </w:r>
            <w:r w:rsidRPr="008733AC">
              <w:lastRenderedPageBreak/>
              <w:t>beschouwd?</w:t>
            </w:r>
            <w:r w:rsidRPr="008733AC">
              <w:rPr>
                <w:rFonts w:ascii="Times New Roman" w:hAnsi="Times New Roman"/>
                <w:b w:val="0"/>
              </w:rPr>
              <w:tab/>
            </w:r>
            <w:r w:rsidRPr="008733AC">
              <w:rPr>
                <w:b w:val="0"/>
              </w:rPr>
              <w:t>23</w:t>
            </w:r>
          </w:hyperlink>
        </w:p>
        <w:p w14:paraId="156E6DA5" w14:textId="77777777" w:rsidR="002B78A6" w:rsidRPr="008733AC" w:rsidRDefault="00000000">
          <w:pPr>
            <w:pStyle w:val="Inhopg1"/>
            <w:tabs>
              <w:tab w:val="right" w:leader="dot" w:pos="9118"/>
            </w:tabs>
          </w:pPr>
          <w:hyperlink w:anchor="_bookmark65" w:history="1">
            <w:r w:rsidRPr="008733AC">
              <w:t>Benchmarking en partnerschappen</w:t>
            </w:r>
            <w:r w:rsidRPr="008733AC">
              <w:tab/>
              <w:t>23</w:t>
            </w:r>
          </w:hyperlink>
        </w:p>
        <w:p w14:paraId="4871012C" w14:textId="77777777" w:rsidR="002B78A6" w:rsidRPr="008733AC" w:rsidRDefault="00000000">
          <w:pPr>
            <w:pStyle w:val="Inhopg2"/>
            <w:numPr>
              <w:ilvl w:val="0"/>
              <w:numId w:val="3"/>
            </w:numPr>
            <w:tabs>
              <w:tab w:val="left" w:pos="981"/>
              <w:tab w:val="right" w:leader="dot" w:pos="9121"/>
            </w:tabs>
            <w:spacing w:before="126"/>
            <w:rPr>
              <w:b w:val="0"/>
            </w:rPr>
          </w:pPr>
          <w:hyperlink w:anchor="_bookmark66" w:history="1">
            <w:r w:rsidRPr="008733AC">
              <w:t>Wat is landenbenchmarking?</w:t>
            </w:r>
            <w:r w:rsidRPr="008733AC">
              <w:rPr>
                <w:rFonts w:ascii="Times New Roman" w:hAnsi="Times New Roman"/>
                <w:b w:val="0"/>
              </w:rPr>
              <w:tab/>
            </w:r>
            <w:r w:rsidRPr="008733AC">
              <w:rPr>
                <w:b w:val="0"/>
              </w:rPr>
              <w:t>23</w:t>
            </w:r>
          </w:hyperlink>
        </w:p>
        <w:p w14:paraId="3246D199" w14:textId="77777777" w:rsidR="002B78A6" w:rsidRPr="008733AC" w:rsidRDefault="00000000">
          <w:pPr>
            <w:pStyle w:val="Inhopg2"/>
            <w:numPr>
              <w:ilvl w:val="0"/>
              <w:numId w:val="3"/>
            </w:numPr>
            <w:tabs>
              <w:tab w:val="left" w:pos="981"/>
              <w:tab w:val="right" w:leader="dot" w:pos="9121"/>
            </w:tabs>
            <w:spacing w:before="122"/>
            <w:rPr>
              <w:b w:val="0"/>
            </w:rPr>
          </w:pPr>
          <w:hyperlink w:anchor="_bookmark67" w:history="1">
            <w:r w:rsidRPr="008733AC">
              <w:t>Wat is de methodologie?</w:t>
            </w:r>
            <w:r w:rsidRPr="008733AC">
              <w:rPr>
                <w:rFonts w:ascii="Times New Roman" w:hAnsi="Times New Roman"/>
                <w:b w:val="0"/>
              </w:rPr>
              <w:tab/>
            </w:r>
            <w:r w:rsidRPr="008733AC">
              <w:rPr>
                <w:b w:val="0"/>
              </w:rPr>
              <w:t>23</w:t>
            </w:r>
          </w:hyperlink>
        </w:p>
        <w:p w14:paraId="61E3A18A" w14:textId="77777777" w:rsidR="002B78A6" w:rsidRPr="008733AC" w:rsidRDefault="00000000">
          <w:pPr>
            <w:pStyle w:val="Inhopg2"/>
            <w:numPr>
              <w:ilvl w:val="0"/>
              <w:numId w:val="3"/>
            </w:numPr>
            <w:tabs>
              <w:tab w:val="left" w:pos="981"/>
              <w:tab w:val="right" w:leader="dot" w:pos="9121"/>
            </w:tabs>
            <w:spacing w:after="53"/>
            <w:rPr>
              <w:b w:val="0"/>
            </w:rPr>
          </w:pPr>
          <w:hyperlink w:anchor="_bookmark68" w:history="1">
            <w:r w:rsidRPr="008733AC">
              <w:t>Hoe kunnen belanghebbenden bijdragen?</w:t>
            </w:r>
            <w:r w:rsidRPr="008733AC">
              <w:rPr>
                <w:rFonts w:ascii="Times New Roman" w:hAnsi="Times New Roman"/>
                <w:b w:val="0"/>
              </w:rPr>
              <w:tab/>
            </w:r>
            <w:r w:rsidRPr="008733AC">
              <w:rPr>
                <w:b w:val="0"/>
              </w:rPr>
              <w:t>24</w:t>
            </w:r>
          </w:hyperlink>
        </w:p>
        <w:p w14:paraId="74B9057E" w14:textId="77777777" w:rsidR="002B78A6" w:rsidRPr="008733AC" w:rsidRDefault="00000000">
          <w:pPr>
            <w:pStyle w:val="Inhopg2"/>
            <w:numPr>
              <w:ilvl w:val="0"/>
              <w:numId w:val="3"/>
            </w:numPr>
            <w:tabs>
              <w:tab w:val="left" w:pos="981"/>
              <w:tab w:val="left" w:leader="dot" w:pos="8895"/>
            </w:tabs>
            <w:spacing w:before="41"/>
            <w:rPr>
              <w:b w:val="0"/>
            </w:rPr>
          </w:pPr>
          <w:hyperlink w:anchor="_bookmark69" w:history="1">
            <w:r w:rsidRPr="008733AC">
              <w:t>Kunnen landen relevante gegevens delen met de Commissie?</w:t>
            </w:r>
            <w:r w:rsidRPr="008733AC">
              <w:rPr>
                <w:rFonts w:ascii="Times New Roman" w:hAnsi="Times New Roman"/>
                <w:b w:val="0"/>
              </w:rPr>
              <w:tab/>
            </w:r>
            <w:r w:rsidRPr="008733AC">
              <w:rPr>
                <w:b w:val="0"/>
              </w:rPr>
              <w:t>24</w:t>
            </w:r>
          </w:hyperlink>
        </w:p>
        <w:p w14:paraId="7914B538" w14:textId="77777777" w:rsidR="002B78A6" w:rsidRPr="008733AC" w:rsidRDefault="00000000">
          <w:pPr>
            <w:pStyle w:val="Inhopg2"/>
            <w:numPr>
              <w:ilvl w:val="0"/>
              <w:numId w:val="3"/>
            </w:numPr>
            <w:tabs>
              <w:tab w:val="left" w:pos="981"/>
              <w:tab w:val="left" w:leader="dot" w:pos="8895"/>
            </w:tabs>
            <w:rPr>
              <w:b w:val="0"/>
            </w:rPr>
          </w:pPr>
          <w:hyperlink w:anchor="_bookmark70" w:history="1">
            <w:r w:rsidRPr="008733AC">
              <w:t>Worden legaliteitsrisico's overwogen?</w:t>
            </w:r>
            <w:r w:rsidRPr="008733AC">
              <w:tab/>
            </w:r>
            <w:r w:rsidRPr="008733AC">
              <w:rPr>
                <w:b w:val="0"/>
              </w:rPr>
              <w:t>24</w:t>
            </w:r>
          </w:hyperlink>
        </w:p>
        <w:p w14:paraId="2A792EB0" w14:textId="77777777" w:rsidR="002B78A6" w:rsidRPr="008733AC" w:rsidRDefault="00000000">
          <w:pPr>
            <w:pStyle w:val="Inhopg2"/>
            <w:numPr>
              <w:ilvl w:val="0"/>
              <w:numId w:val="3"/>
            </w:numPr>
            <w:tabs>
              <w:tab w:val="left" w:pos="981"/>
              <w:tab w:val="left" w:leader="dot" w:pos="8895"/>
            </w:tabs>
            <w:spacing w:before="123"/>
            <w:rPr>
              <w:b w:val="0"/>
            </w:rPr>
          </w:pPr>
          <w:hyperlink w:anchor="_bookmark71" w:history="1">
            <w:r w:rsidRPr="008733AC">
              <w:t>Welke steun wordt verleend aan producerende landen en kleine landbouwbedrijven?</w:t>
            </w:r>
            <w:r w:rsidRPr="008733AC">
              <w:tab/>
            </w:r>
            <w:r w:rsidRPr="008733AC">
              <w:rPr>
                <w:b w:val="0"/>
              </w:rPr>
              <w:t>25</w:t>
            </w:r>
          </w:hyperlink>
        </w:p>
        <w:p w14:paraId="0600EDD5" w14:textId="77777777" w:rsidR="002B78A6" w:rsidRPr="008733AC" w:rsidRDefault="00000000">
          <w:pPr>
            <w:pStyle w:val="Inhopg2"/>
            <w:numPr>
              <w:ilvl w:val="0"/>
              <w:numId w:val="3"/>
            </w:numPr>
            <w:tabs>
              <w:tab w:val="left" w:pos="981"/>
              <w:tab w:val="left" w:leader="dot" w:pos="8895"/>
            </w:tabs>
            <w:rPr>
              <w:b w:val="0"/>
            </w:rPr>
          </w:pPr>
          <w:hyperlink w:anchor="_bookmark72" w:history="1">
            <w:r w:rsidRPr="008733AC">
              <w:t>Wat zijn de verschillende elementen van het Team Europe-initiatief?</w:t>
            </w:r>
            <w:r w:rsidRPr="008733AC">
              <w:tab/>
            </w:r>
            <w:r w:rsidRPr="008733AC">
              <w:rPr>
                <w:b w:val="0"/>
              </w:rPr>
              <w:t>25</w:t>
            </w:r>
          </w:hyperlink>
        </w:p>
        <w:p w14:paraId="6CB0BA53" w14:textId="77777777" w:rsidR="002B78A6" w:rsidRPr="008733AC" w:rsidRDefault="00000000">
          <w:pPr>
            <w:pStyle w:val="Inhopg2"/>
            <w:numPr>
              <w:ilvl w:val="0"/>
              <w:numId w:val="3"/>
            </w:numPr>
            <w:tabs>
              <w:tab w:val="left" w:pos="981"/>
              <w:tab w:val="left" w:leader="dot" w:pos="8895"/>
            </w:tabs>
            <w:spacing w:before="123"/>
            <w:rPr>
              <w:b w:val="0"/>
            </w:rPr>
          </w:pPr>
          <w:hyperlink w:anchor="_bookmark73" w:history="1">
            <w:r w:rsidRPr="008733AC">
              <w:t>Hoe verhoudt het Team Europe-initiatief zich tot de CSDDD?</w:t>
            </w:r>
            <w:r w:rsidRPr="008733AC">
              <w:tab/>
            </w:r>
            <w:r w:rsidRPr="008733AC">
              <w:rPr>
                <w:b w:val="0"/>
              </w:rPr>
              <w:t>25</w:t>
            </w:r>
          </w:hyperlink>
        </w:p>
        <w:p w14:paraId="52E8F9F6" w14:textId="77777777" w:rsidR="002B78A6" w:rsidRPr="008733AC" w:rsidRDefault="00000000">
          <w:pPr>
            <w:pStyle w:val="Inhopg2"/>
            <w:numPr>
              <w:ilvl w:val="0"/>
              <w:numId w:val="3"/>
            </w:numPr>
            <w:tabs>
              <w:tab w:val="left" w:pos="981"/>
              <w:tab w:val="left" w:leader="dot" w:pos="8895"/>
            </w:tabs>
            <w:rPr>
              <w:b w:val="0"/>
            </w:rPr>
          </w:pPr>
          <w:hyperlink w:anchor="_bookmark74" w:history="1">
            <w:r w:rsidRPr="008733AC">
              <w:t>Hoe kunnen we het risico op de foutieve benchmarking van een 'hoog risico' beperken?</w:t>
            </w:r>
            <w:r w:rsidRPr="008733AC">
              <w:rPr>
                <w:rFonts w:ascii="Times New Roman" w:hAnsi="Times New Roman"/>
                <w:b w:val="0"/>
              </w:rPr>
              <w:tab/>
            </w:r>
            <w:r w:rsidRPr="008733AC">
              <w:rPr>
                <w:b w:val="0"/>
              </w:rPr>
              <w:t>26</w:t>
            </w:r>
          </w:hyperlink>
        </w:p>
        <w:p w14:paraId="4ECA3D4A" w14:textId="77777777" w:rsidR="002B78A6" w:rsidRPr="008733AC" w:rsidRDefault="00000000">
          <w:pPr>
            <w:pStyle w:val="Inhopg2"/>
            <w:numPr>
              <w:ilvl w:val="0"/>
              <w:numId w:val="3"/>
            </w:numPr>
            <w:tabs>
              <w:tab w:val="left" w:pos="981"/>
              <w:tab w:val="left" w:leader="dot" w:pos="8895"/>
            </w:tabs>
            <w:spacing w:before="123"/>
            <w:rPr>
              <w:b w:val="0"/>
            </w:rPr>
          </w:pPr>
          <w:hyperlink w:anchor="_bookmark75" w:history="1">
            <w:r w:rsidRPr="008733AC">
              <w:t>Hoe zal de EU de transparantie garanderen?</w:t>
            </w:r>
            <w:r w:rsidRPr="008733AC">
              <w:rPr>
                <w:rFonts w:ascii="Times New Roman" w:hAnsi="Times New Roman"/>
                <w:b w:val="0"/>
              </w:rPr>
              <w:tab/>
            </w:r>
            <w:r w:rsidRPr="008733AC">
              <w:rPr>
                <w:b w:val="0"/>
              </w:rPr>
              <w:t>26</w:t>
            </w:r>
          </w:hyperlink>
        </w:p>
        <w:p w14:paraId="3F9E2171" w14:textId="77777777" w:rsidR="002B78A6" w:rsidRPr="008733AC" w:rsidRDefault="00000000">
          <w:pPr>
            <w:pStyle w:val="Inhopg1"/>
            <w:tabs>
              <w:tab w:val="left" w:leader="dot" w:pos="8835"/>
            </w:tabs>
            <w:spacing w:before="120"/>
          </w:pPr>
          <w:hyperlink w:anchor="_bookmark76" w:history="1">
            <w:r w:rsidRPr="008733AC">
              <w:t>Ondersteuning van de invoering</w:t>
            </w:r>
            <w:r w:rsidRPr="008733AC">
              <w:tab/>
              <w:t>26</w:t>
            </w:r>
          </w:hyperlink>
        </w:p>
        <w:p w14:paraId="3075B28F" w14:textId="77777777" w:rsidR="002B78A6" w:rsidRPr="008733AC" w:rsidRDefault="00000000">
          <w:pPr>
            <w:pStyle w:val="Inhopg2"/>
            <w:numPr>
              <w:ilvl w:val="0"/>
              <w:numId w:val="3"/>
            </w:numPr>
            <w:tabs>
              <w:tab w:val="left" w:pos="981"/>
              <w:tab w:val="left" w:leader="dot" w:pos="8895"/>
            </w:tabs>
            <w:spacing w:before="126"/>
            <w:rPr>
              <w:b w:val="0"/>
            </w:rPr>
          </w:pPr>
          <w:hyperlink w:anchor="_bookmark77" w:history="1">
            <w:r w:rsidRPr="008733AC">
              <w:t>Wat is het informatiesysteem en de éénloketomgeving van de Europese Unie?</w:t>
            </w:r>
            <w:r w:rsidRPr="008733AC">
              <w:rPr>
                <w:rFonts w:ascii="Times New Roman" w:hAnsi="Times New Roman"/>
                <w:b w:val="0"/>
              </w:rPr>
              <w:tab/>
            </w:r>
            <w:r w:rsidRPr="008733AC">
              <w:rPr>
                <w:b w:val="0"/>
              </w:rPr>
              <w:t>26</w:t>
            </w:r>
          </w:hyperlink>
        </w:p>
        <w:p w14:paraId="2E4FEEDE" w14:textId="77777777" w:rsidR="002B78A6" w:rsidRPr="008733AC" w:rsidRDefault="00000000">
          <w:pPr>
            <w:pStyle w:val="Inhopg2"/>
            <w:numPr>
              <w:ilvl w:val="0"/>
              <w:numId w:val="3"/>
            </w:numPr>
            <w:tabs>
              <w:tab w:val="left" w:pos="981"/>
              <w:tab w:val="left" w:leader="dot" w:pos="8895"/>
            </w:tabs>
            <w:spacing w:before="123"/>
            <w:rPr>
              <w:b w:val="0"/>
            </w:rPr>
          </w:pPr>
          <w:hyperlink w:anchor="_bookmark78" w:history="1">
            <w:r w:rsidRPr="008733AC">
              <w:t>Welke garanties voor gegevensbeveiliging hebben ze?</w:t>
            </w:r>
            <w:r w:rsidRPr="008733AC">
              <w:tab/>
            </w:r>
            <w:r w:rsidRPr="008733AC">
              <w:rPr>
                <w:b w:val="0"/>
              </w:rPr>
              <w:t>27</w:t>
            </w:r>
          </w:hyperlink>
        </w:p>
        <w:p w14:paraId="4B8B8919" w14:textId="77777777" w:rsidR="002B78A6" w:rsidRPr="008733AC" w:rsidRDefault="00000000">
          <w:pPr>
            <w:pStyle w:val="Inhopg2"/>
            <w:numPr>
              <w:ilvl w:val="0"/>
              <w:numId w:val="3"/>
            </w:numPr>
            <w:tabs>
              <w:tab w:val="left" w:pos="981"/>
              <w:tab w:val="left" w:leader="dot" w:pos="8895"/>
            </w:tabs>
            <w:spacing w:before="121"/>
            <w:rPr>
              <w:b w:val="0"/>
            </w:rPr>
          </w:pPr>
          <w:hyperlink w:anchor="_bookmark79" w:history="1">
            <w:r w:rsidRPr="008733AC">
              <w:t>Hoe kunnen marktdeelnemers en handelaren zich registreren?</w:t>
            </w:r>
            <w:r w:rsidRPr="008733AC">
              <w:tab/>
            </w:r>
            <w:r w:rsidRPr="008733AC">
              <w:rPr>
                <w:b w:val="0"/>
              </w:rPr>
              <w:t>27</w:t>
            </w:r>
          </w:hyperlink>
        </w:p>
        <w:p w14:paraId="431764BD" w14:textId="77777777" w:rsidR="002B78A6" w:rsidRPr="008733AC" w:rsidRDefault="00000000">
          <w:pPr>
            <w:pStyle w:val="Inhopg2"/>
            <w:numPr>
              <w:ilvl w:val="0"/>
              <w:numId w:val="3"/>
            </w:numPr>
            <w:tabs>
              <w:tab w:val="left" w:pos="981"/>
              <w:tab w:val="left" w:leader="dot" w:pos="8895"/>
            </w:tabs>
            <w:spacing w:before="122"/>
            <w:rPr>
              <w:b w:val="0"/>
            </w:rPr>
          </w:pPr>
          <w:hyperlink w:anchor="_bookmark80" w:history="1">
            <w:r w:rsidRPr="008733AC">
              <w:t>Kan het systeem veelgebruikte gegevens opslaan?</w:t>
            </w:r>
            <w:r w:rsidRPr="008733AC">
              <w:tab/>
            </w:r>
            <w:r w:rsidRPr="008733AC">
              <w:rPr>
                <w:b w:val="0"/>
              </w:rPr>
              <w:t>27</w:t>
            </w:r>
          </w:hyperlink>
        </w:p>
        <w:p w14:paraId="73808CA2" w14:textId="77777777" w:rsidR="002B78A6" w:rsidRPr="008733AC" w:rsidRDefault="00000000">
          <w:pPr>
            <w:pStyle w:val="Inhopg2"/>
            <w:numPr>
              <w:ilvl w:val="0"/>
              <w:numId w:val="3"/>
            </w:numPr>
            <w:tabs>
              <w:tab w:val="left" w:pos="981"/>
              <w:tab w:val="left" w:leader="dot" w:pos="8895"/>
            </w:tabs>
            <w:spacing w:before="121"/>
            <w:rPr>
              <w:b w:val="0"/>
            </w:rPr>
          </w:pPr>
          <w:hyperlink w:anchor="_bookmark81" w:history="1">
            <w:r w:rsidRPr="008733AC">
              <w:t>Kan het systeem landbouwers helpen om hun geolocatie te bepalen?</w:t>
            </w:r>
            <w:r w:rsidRPr="008733AC">
              <w:rPr>
                <w:rFonts w:ascii="Times New Roman" w:hAnsi="Times New Roman"/>
                <w:b w:val="0"/>
              </w:rPr>
              <w:tab/>
            </w:r>
            <w:r w:rsidRPr="008733AC">
              <w:rPr>
                <w:b w:val="0"/>
              </w:rPr>
              <w:t>27</w:t>
            </w:r>
          </w:hyperlink>
        </w:p>
        <w:p w14:paraId="25A02B39" w14:textId="77777777" w:rsidR="002B78A6" w:rsidRPr="008733AC" w:rsidRDefault="00000000">
          <w:pPr>
            <w:pStyle w:val="Inhopg2"/>
            <w:numPr>
              <w:ilvl w:val="0"/>
              <w:numId w:val="3"/>
            </w:numPr>
            <w:tabs>
              <w:tab w:val="left" w:pos="981"/>
              <w:tab w:val="left" w:leader="dot" w:pos="8895"/>
            </w:tabs>
            <w:rPr>
              <w:b w:val="0"/>
            </w:rPr>
          </w:pPr>
          <w:hyperlink w:anchor="_bookmark82" w:history="1">
            <w:r w:rsidRPr="008733AC">
              <w:t>Kan een zorgvuldigheidsverklaring worden gewijzigd?</w:t>
            </w:r>
            <w:r w:rsidRPr="008733AC">
              <w:tab/>
            </w:r>
            <w:r w:rsidRPr="008733AC">
              <w:rPr>
                <w:b w:val="0"/>
              </w:rPr>
              <w:t>27</w:t>
            </w:r>
          </w:hyperlink>
        </w:p>
        <w:p w14:paraId="0CA6F3AA" w14:textId="77777777" w:rsidR="002B78A6" w:rsidRPr="008733AC" w:rsidRDefault="00000000">
          <w:pPr>
            <w:pStyle w:val="Inhopg1"/>
            <w:tabs>
              <w:tab w:val="left" w:leader="dot" w:pos="8835"/>
            </w:tabs>
          </w:pPr>
          <w:hyperlink w:anchor="_bookmark83" w:history="1">
            <w:r w:rsidRPr="008733AC">
              <w:t>Tijdlijnen</w:t>
            </w:r>
            <w:r w:rsidRPr="008733AC">
              <w:tab/>
              <w:t>28</w:t>
            </w:r>
          </w:hyperlink>
        </w:p>
        <w:p w14:paraId="7BDE7EF2" w14:textId="77777777" w:rsidR="002B78A6" w:rsidRPr="008733AC" w:rsidRDefault="00000000">
          <w:pPr>
            <w:pStyle w:val="Inhopg2"/>
            <w:numPr>
              <w:ilvl w:val="0"/>
              <w:numId w:val="3"/>
            </w:numPr>
            <w:tabs>
              <w:tab w:val="left" w:pos="981"/>
              <w:tab w:val="left" w:leader="dot" w:pos="8895"/>
            </w:tabs>
            <w:spacing w:before="126"/>
            <w:rPr>
              <w:b w:val="0"/>
            </w:rPr>
          </w:pPr>
          <w:hyperlink w:anchor="_bookmark84" w:history="1">
            <w:r w:rsidRPr="008733AC">
              <w:t>Wanneer treedt de Verordening in werking en wordt ze toegepast?</w:t>
            </w:r>
            <w:r w:rsidRPr="008733AC">
              <w:rPr>
                <w:rFonts w:ascii="Times New Roman" w:hAnsi="Times New Roman"/>
                <w:b w:val="0"/>
              </w:rPr>
              <w:tab/>
            </w:r>
            <w:r w:rsidRPr="008733AC">
              <w:rPr>
                <w:b w:val="0"/>
              </w:rPr>
              <w:t>28</w:t>
            </w:r>
          </w:hyperlink>
        </w:p>
        <w:p w14:paraId="21B900FA" w14:textId="77777777" w:rsidR="002B78A6" w:rsidRPr="008733AC" w:rsidRDefault="00000000">
          <w:pPr>
            <w:pStyle w:val="Inhopg2"/>
            <w:numPr>
              <w:ilvl w:val="0"/>
              <w:numId w:val="3"/>
            </w:numPr>
            <w:tabs>
              <w:tab w:val="left" w:pos="981"/>
              <w:tab w:val="left" w:leader="dot" w:pos="8895"/>
            </w:tabs>
            <w:spacing w:before="122"/>
            <w:rPr>
              <w:b w:val="0"/>
            </w:rPr>
          </w:pPr>
          <w:hyperlink w:anchor="_bookmark85" w:history="1">
            <w:r w:rsidRPr="008733AC">
              <w:t>Wat met de periode tussen deze datums?</w:t>
            </w:r>
            <w:r w:rsidRPr="008733AC">
              <w:tab/>
            </w:r>
            <w:r w:rsidRPr="008733AC">
              <w:rPr>
                <w:b w:val="0"/>
              </w:rPr>
              <w:t>28</w:t>
            </w:r>
          </w:hyperlink>
        </w:p>
        <w:p w14:paraId="5167426C" w14:textId="77777777" w:rsidR="002B78A6" w:rsidRPr="008733AC" w:rsidRDefault="00000000">
          <w:pPr>
            <w:pStyle w:val="Inhopg2"/>
            <w:numPr>
              <w:ilvl w:val="0"/>
              <w:numId w:val="3"/>
            </w:numPr>
            <w:tabs>
              <w:tab w:val="left" w:pos="981"/>
            </w:tabs>
            <w:spacing w:before="121"/>
          </w:pPr>
          <w:hyperlink w:anchor="_bookmark86" w:history="1">
            <w:r w:rsidRPr="008733AC">
              <w:t>Hoe kan ik bewijzen dat het product werd geproduceerd voordat de Verordening van kracht werd?</w:t>
            </w:r>
          </w:hyperlink>
        </w:p>
        <w:p w14:paraId="016C0DA4" w14:textId="77777777" w:rsidR="002B78A6" w:rsidRPr="008733AC" w:rsidRDefault="00000000">
          <w:pPr>
            <w:pStyle w:val="Inhopg3"/>
          </w:pPr>
          <w:hyperlink w:anchor="_bookmark86" w:history="1">
            <w:r w:rsidRPr="008733AC">
              <w:t>28</w:t>
            </w:r>
          </w:hyperlink>
        </w:p>
        <w:p w14:paraId="29540F57" w14:textId="77777777" w:rsidR="002B78A6" w:rsidRPr="008733AC" w:rsidRDefault="00000000">
          <w:pPr>
            <w:pStyle w:val="Inhopg2"/>
            <w:numPr>
              <w:ilvl w:val="0"/>
              <w:numId w:val="3"/>
            </w:numPr>
            <w:tabs>
              <w:tab w:val="left" w:pos="981"/>
              <w:tab w:val="left" w:leader="dot" w:pos="8895"/>
            </w:tabs>
            <w:spacing w:before="121" w:line="259" w:lineRule="auto"/>
            <w:ind w:left="321" w:right="163" w:firstLine="0"/>
            <w:rPr>
              <w:b w:val="0"/>
            </w:rPr>
          </w:pPr>
          <w:hyperlink w:anchor="_bookmark87" w:history="1">
            <w:r w:rsidRPr="008733AC">
              <w:t>Wat zijn de verplichtingen voor marktdeelnemers en niet-kmo-handelaren wanneer ze</w:t>
            </w:r>
          </w:hyperlink>
          <w:r w:rsidRPr="008733AC">
            <w:t xml:space="preserve"> </w:t>
          </w:r>
          <w:hyperlink w:anchor="_bookmark87" w:history="1">
            <w:r w:rsidRPr="008733AC">
              <w:t>een relevant product in de handel brengen of uitvoeren dat gemaakt is van een relevant product of een relevante</w:t>
            </w:r>
          </w:hyperlink>
          <w:r w:rsidRPr="008733AC">
            <w:t xml:space="preserve"> </w:t>
          </w:r>
          <w:hyperlink w:anchor="_bookmark87" w:history="1">
            <w:r w:rsidRPr="008733AC">
              <w:t>grondstof die in de handel is gebracht tijdens de overgangsperiode (d.w.z. de periode</w:t>
            </w:r>
          </w:hyperlink>
          <w:r w:rsidRPr="008733AC">
            <w:t xml:space="preserve"> </w:t>
          </w:r>
          <w:hyperlink w:anchor="_bookmark87" w:history="1">
            <w:r w:rsidRPr="008733AC">
              <w:t>tussen de datum van inwerkingtreding van de Verordening (30/6/2023) en de datum van toepassing ervan</w:t>
            </w:r>
          </w:hyperlink>
          <w:r w:rsidRPr="008733AC">
            <w:t xml:space="preserve"> </w:t>
          </w:r>
          <w:hyperlink w:anchor="_bookmark87" w:history="1">
            <w:r w:rsidRPr="008733AC">
              <w:t>(30/12/2024)?</w:t>
            </w:r>
            <w:r w:rsidRPr="008733AC">
              <w:tab/>
            </w:r>
            <w:r w:rsidRPr="008733AC">
              <w:rPr>
                <w:b w:val="0"/>
              </w:rPr>
              <w:t>28</w:t>
            </w:r>
          </w:hyperlink>
        </w:p>
        <w:p w14:paraId="18DD5061" w14:textId="77777777" w:rsidR="002B78A6" w:rsidRPr="008733AC" w:rsidRDefault="00000000">
          <w:pPr>
            <w:pStyle w:val="Inhopg1"/>
            <w:tabs>
              <w:tab w:val="left" w:leader="dot" w:pos="8835"/>
            </w:tabs>
            <w:spacing w:before="101"/>
          </w:pPr>
          <w:hyperlink w:anchor="_bookmark88" w:history="1">
            <w:r w:rsidRPr="008733AC">
              <w:t>Andere vragen</w:t>
            </w:r>
            <w:r w:rsidRPr="008733AC">
              <w:tab/>
              <w:t>30</w:t>
            </w:r>
          </w:hyperlink>
        </w:p>
        <w:p w14:paraId="7D615B0F" w14:textId="77777777" w:rsidR="002B78A6" w:rsidRPr="008733AC" w:rsidRDefault="00000000">
          <w:pPr>
            <w:pStyle w:val="Inhopg2"/>
            <w:numPr>
              <w:ilvl w:val="0"/>
              <w:numId w:val="3"/>
            </w:numPr>
            <w:tabs>
              <w:tab w:val="left" w:pos="981"/>
              <w:tab w:val="left" w:leader="dot" w:pos="8895"/>
            </w:tabs>
            <w:spacing w:before="125"/>
            <w:rPr>
              <w:b w:val="0"/>
            </w:rPr>
          </w:pPr>
          <w:hyperlink w:anchor="_bookmark89" w:history="1">
            <w:r w:rsidRPr="008733AC">
              <w:t>Zal de Commissie richtsnoeren uitvaardigen?</w:t>
            </w:r>
            <w:r w:rsidRPr="008733AC">
              <w:rPr>
                <w:rFonts w:ascii="Times New Roman" w:hAnsi="Times New Roman"/>
                <w:b w:val="0"/>
              </w:rPr>
              <w:tab/>
            </w:r>
            <w:r w:rsidRPr="008733AC">
              <w:rPr>
                <w:b w:val="0"/>
              </w:rPr>
              <w:t>30</w:t>
            </w:r>
          </w:hyperlink>
        </w:p>
        <w:p w14:paraId="1AEF5164" w14:textId="77777777" w:rsidR="002B78A6" w:rsidRPr="008733AC" w:rsidRDefault="00000000">
          <w:pPr>
            <w:pStyle w:val="Inhopg2"/>
            <w:numPr>
              <w:ilvl w:val="0"/>
              <w:numId w:val="3"/>
            </w:numPr>
            <w:tabs>
              <w:tab w:val="left" w:pos="981"/>
              <w:tab w:val="left" w:leader="dot" w:pos="8895"/>
            </w:tabs>
            <w:spacing w:before="121"/>
            <w:rPr>
              <w:b w:val="0"/>
            </w:rPr>
          </w:pPr>
          <w:hyperlink w:anchor="_bookmark90" w:history="1">
            <w:r w:rsidRPr="008733AC">
              <w:t>Zal de Commissie grondstofspecifieke richtsnoeren uitvaardigen?</w:t>
            </w:r>
            <w:r w:rsidRPr="008733AC">
              <w:rPr>
                <w:rFonts w:ascii="Times New Roman" w:hAnsi="Times New Roman"/>
                <w:b w:val="0"/>
              </w:rPr>
              <w:tab/>
            </w:r>
            <w:r w:rsidRPr="008733AC">
              <w:rPr>
                <w:b w:val="0"/>
              </w:rPr>
              <w:t>30</w:t>
            </w:r>
          </w:hyperlink>
        </w:p>
        <w:p w14:paraId="6A1219A8" w14:textId="77777777" w:rsidR="002B78A6" w:rsidRPr="008733AC" w:rsidRDefault="00000000">
          <w:pPr>
            <w:pStyle w:val="Inhopg2"/>
            <w:numPr>
              <w:ilvl w:val="0"/>
              <w:numId w:val="3"/>
            </w:numPr>
            <w:tabs>
              <w:tab w:val="left" w:pos="981"/>
              <w:tab w:val="left" w:leader="dot" w:pos="8895"/>
            </w:tabs>
            <w:spacing w:before="122"/>
            <w:rPr>
              <w:b w:val="0"/>
            </w:rPr>
          </w:pPr>
          <w:hyperlink w:anchor="_bookmark91" w:history="1">
            <w:r w:rsidRPr="008733AC">
              <w:t>Wat zijn de rapportageverplichtingen voor marktdeelnemers?</w:t>
            </w:r>
            <w:r w:rsidRPr="008733AC">
              <w:tab/>
            </w:r>
            <w:r w:rsidRPr="008733AC">
              <w:rPr>
                <w:b w:val="0"/>
              </w:rPr>
              <w:t>30</w:t>
            </w:r>
          </w:hyperlink>
        </w:p>
        <w:p w14:paraId="536F21F0" w14:textId="77777777" w:rsidR="002B78A6" w:rsidRPr="008733AC" w:rsidRDefault="00000000">
          <w:pPr>
            <w:pStyle w:val="Inhopg2"/>
            <w:numPr>
              <w:ilvl w:val="0"/>
              <w:numId w:val="3"/>
            </w:numPr>
            <w:tabs>
              <w:tab w:val="left" w:pos="981"/>
              <w:tab w:val="left" w:leader="dot" w:pos="8895"/>
            </w:tabs>
            <w:spacing w:before="121"/>
            <w:rPr>
              <w:b w:val="0"/>
            </w:rPr>
          </w:pPr>
          <w:hyperlink w:anchor="_bookmark92" w:history="1">
            <w:r w:rsidRPr="008733AC">
              <w:t>Wat is het EU-observatorium voor ontbossing en bosdegradatie?</w:t>
            </w:r>
            <w:r w:rsidRPr="008733AC">
              <w:tab/>
            </w:r>
            <w:r w:rsidRPr="008733AC">
              <w:rPr>
                <w:b w:val="0"/>
              </w:rPr>
              <w:t>30</w:t>
            </w:r>
          </w:hyperlink>
        </w:p>
        <w:p w14:paraId="6975E135" w14:textId="77777777" w:rsidR="002B78A6" w:rsidRPr="008733AC" w:rsidRDefault="00000000">
          <w:pPr>
            <w:pStyle w:val="Inhopg2"/>
            <w:numPr>
              <w:ilvl w:val="0"/>
              <w:numId w:val="3"/>
            </w:numPr>
            <w:tabs>
              <w:tab w:val="left" w:pos="981"/>
              <w:tab w:val="left" w:leader="dot" w:pos="8895"/>
            </w:tabs>
            <w:spacing w:before="122"/>
            <w:rPr>
              <w:b w:val="0"/>
            </w:rPr>
          </w:pPr>
          <w:hyperlink w:anchor="_bookmark93" w:history="1">
            <w:r w:rsidRPr="008733AC">
              <w:t>Wat vormt een hoog risico en hoe lang kan een opschorting duren?</w:t>
            </w:r>
            <w:r w:rsidRPr="008733AC">
              <w:rPr>
                <w:rFonts w:ascii="Times New Roman" w:hAnsi="Times New Roman"/>
                <w:b w:val="0"/>
              </w:rPr>
              <w:tab/>
            </w:r>
            <w:r w:rsidRPr="008733AC">
              <w:rPr>
                <w:b w:val="0"/>
              </w:rPr>
              <w:t>31</w:t>
            </w:r>
          </w:hyperlink>
        </w:p>
        <w:p w14:paraId="6A4D931B" w14:textId="77777777" w:rsidR="002B78A6" w:rsidRPr="008733AC" w:rsidRDefault="00000000">
          <w:pPr>
            <w:pStyle w:val="Inhopg2"/>
            <w:numPr>
              <w:ilvl w:val="0"/>
              <w:numId w:val="3"/>
            </w:numPr>
            <w:tabs>
              <w:tab w:val="left" w:pos="981"/>
              <w:tab w:val="left" w:leader="dot" w:pos="8895"/>
            </w:tabs>
            <w:rPr>
              <w:b w:val="0"/>
            </w:rPr>
          </w:pPr>
          <w:hyperlink w:anchor="_bookmark94" w:history="1">
            <w:r w:rsidRPr="008733AC">
              <w:t>Hoe verhoudt de Verordening zich tot de EU-richtlijn hernieuwbare energie?</w:t>
            </w:r>
            <w:r w:rsidRPr="008733AC">
              <w:tab/>
            </w:r>
            <w:r w:rsidRPr="008733AC">
              <w:rPr>
                <w:b w:val="0"/>
              </w:rPr>
              <w:t>32</w:t>
            </w:r>
          </w:hyperlink>
        </w:p>
      </w:sdtContent>
    </w:sdt>
    <w:p w14:paraId="3D115F61" w14:textId="77777777" w:rsidR="002B78A6" w:rsidRPr="008733AC" w:rsidRDefault="002B78A6">
      <w:pPr>
        <w:sectPr w:rsidR="002B78A6" w:rsidRPr="008733AC" w:rsidSect="003C21AD">
          <w:type w:val="continuous"/>
          <w:pgSz w:w="11910" w:h="16840"/>
          <w:pgMar w:top="1399" w:right="1280" w:bottom="1505" w:left="1340" w:header="0" w:footer="1000" w:gutter="0"/>
          <w:cols w:space="720"/>
        </w:sectPr>
      </w:pPr>
    </w:p>
    <w:p w14:paraId="5E84EDA5" w14:textId="77777777" w:rsidR="002B78A6" w:rsidRPr="008733AC" w:rsidRDefault="00000000">
      <w:pPr>
        <w:pStyle w:val="Kop1"/>
        <w:spacing w:before="21"/>
      </w:pPr>
      <w:bookmarkStart w:id="0" w:name="_bookmark0"/>
      <w:bookmarkEnd w:id="0"/>
      <w:r w:rsidRPr="008733AC">
        <w:rPr>
          <w:color w:val="404040"/>
        </w:rPr>
        <w:lastRenderedPageBreak/>
        <w:t>Traceerbaarheid</w:t>
      </w:r>
    </w:p>
    <w:p w14:paraId="2C9DB1E1" w14:textId="77777777" w:rsidR="002B78A6" w:rsidRPr="008733AC" w:rsidRDefault="00000000">
      <w:pPr>
        <w:pStyle w:val="Kop3"/>
        <w:numPr>
          <w:ilvl w:val="0"/>
          <w:numId w:val="2"/>
        </w:numPr>
        <w:tabs>
          <w:tab w:val="left" w:pos="459"/>
        </w:tabs>
        <w:spacing w:before="241"/>
        <w:ind w:left="459" w:hanging="359"/>
      </w:pPr>
      <w:bookmarkStart w:id="1" w:name="_bookmark1"/>
      <w:bookmarkEnd w:id="1"/>
      <w:r w:rsidRPr="008733AC">
        <w:rPr>
          <w:color w:val="404040"/>
        </w:rPr>
        <w:t>Waarom en hoe moeten marktdeelnemers coördinaten verzamelen?</w:t>
      </w:r>
    </w:p>
    <w:p w14:paraId="38BDBD89" w14:textId="77777777" w:rsidR="002B78A6" w:rsidRPr="008733AC" w:rsidRDefault="00000000">
      <w:pPr>
        <w:pStyle w:val="Plattetekst"/>
        <w:ind w:right="162"/>
      </w:pPr>
      <w:r w:rsidRPr="008733AC">
        <w:rPr>
          <w:color w:val="404040"/>
        </w:rPr>
        <w:t>De Verordening verplicht marktdeelnemers en handelaren die geen kmo's zijn om de geografische coördinaten te verzamelen van de percelen waar de grondstoffen zijn geproduceerd.</w:t>
      </w:r>
    </w:p>
    <w:p w14:paraId="621CFE78" w14:textId="77777777" w:rsidR="002B78A6" w:rsidRPr="008733AC" w:rsidRDefault="00000000">
      <w:pPr>
        <w:pStyle w:val="Plattetekst"/>
        <w:spacing w:before="239"/>
        <w:ind w:right="156"/>
      </w:pPr>
      <w:r w:rsidRPr="008733AC">
        <w:rPr>
          <w:color w:val="404040"/>
        </w:rPr>
        <w:t xml:space="preserve">Traceerbaarheid tot aan het perceel (d.w.z. de vereiste om de geografische coördinaten te verzamelen van de percelen waar de goederen zijn geproduceerd) is nodig </w:t>
      </w:r>
      <w:r w:rsidRPr="008733AC">
        <w:rPr>
          <w:b/>
          <w:color w:val="404040"/>
        </w:rPr>
        <w:t>om aan te tonen dat er geen ontbossing plaatsvindt op een specifieke locatie</w:t>
      </w:r>
      <w:r w:rsidRPr="008733AC">
        <w:rPr>
          <w:color w:val="404040"/>
        </w:rPr>
        <w:t>. Geografische informatie die producten koppelt aan het perceel wordt al gebruikt door een deel van de industrie en een aantal certificeringsorganisaties. Op afstand vastgestelde informatie (luchtfoto's, satellietbeelden) of andere informatie (bv. foto's in het veld met gekoppelde geotags en tijdstempels) kunnen worden gebruikt om te controleren of de geolocatie van aangegeven grondstoffen en producten in verband wordt gebracht met ontbossing.</w:t>
      </w:r>
    </w:p>
    <w:p w14:paraId="0D5B294C" w14:textId="77777777" w:rsidR="002B78A6" w:rsidRPr="008733AC" w:rsidRDefault="00000000">
      <w:pPr>
        <w:pStyle w:val="Plattetekst"/>
        <w:spacing w:before="242"/>
        <w:ind w:right="157"/>
      </w:pPr>
      <w:r w:rsidRPr="008733AC">
        <w:rPr>
          <w:b/>
          <w:color w:val="404040"/>
        </w:rPr>
        <w:t xml:space="preserve">De geolocatiecoördinaten moeten worden vermeld in de zorgvuldigheidsverklaringen </w:t>
      </w:r>
      <w:r w:rsidRPr="008733AC">
        <w:rPr>
          <w:color w:val="404040"/>
        </w:rPr>
        <w:t>die marktdeelnemers bij het informatiesysteem moeten indienen voordat de producten in de handel worden gebracht of geëxporteerd. Het is daarom een kernonderdeel van de Verordening, die het verbiedt om een product in de handel te brengen of te exporteren wanneer dit product onder het toepassingsgebied van de Verordening valt en de geolocatiecoördinaten nog niet zijn verzameld en ingediend als onderdeel van een zorgvuldigheidsverklaring.</w:t>
      </w:r>
    </w:p>
    <w:p w14:paraId="7D4C0B11" w14:textId="77777777" w:rsidR="002B78A6" w:rsidRPr="008733AC" w:rsidRDefault="00000000">
      <w:pPr>
        <w:pStyle w:val="Plattetekst"/>
        <w:spacing w:before="239"/>
        <w:ind w:right="153"/>
      </w:pPr>
      <w:r w:rsidRPr="008733AC">
        <w:rPr>
          <w:color w:val="404040"/>
        </w:rPr>
        <w:t>Het verzamelen van de geolocatiecoördinaten van een perceel kan via mobiele telefoons, draagbare GNSS-apparaten (</w:t>
      </w:r>
      <w:hyperlink r:id="rId8">
        <w:r w:rsidRPr="008733AC">
          <w:rPr>
            <w:color w:val="004493"/>
            <w:u w:val="single" w:color="004493"/>
          </w:rPr>
          <w:t>Global Navigation Satellite System</w:t>
        </w:r>
      </w:hyperlink>
      <w:r w:rsidRPr="008733AC">
        <w:rPr>
          <w:color w:val="404040"/>
        </w:rPr>
        <w:t>) en wijdverspreide en gratis te gebruiken digitale toepassingen (bijv. geografische informatiesystemen (GIS)). Deze hebben geen dekking van een mobiel netwerk nodig, alleen een solide GNSS-signaal, zoals dat van Galileo.</w:t>
      </w:r>
    </w:p>
    <w:p w14:paraId="69518FCC" w14:textId="77777777" w:rsidR="002B78A6" w:rsidRPr="008733AC" w:rsidRDefault="00000000">
      <w:pPr>
        <w:pStyle w:val="Plattetekst"/>
        <w:ind w:right="153"/>
      </w:pPr>
      <w:r w:rsidRPr="008733AC">
        <w:rPr>
          <w:color w:val="404040"/>
        </w:rPr>
        <w:t>Voor percelen van meer dan 4 hectare die worden gebruikt voor de productie van andere grondstoffen dan runderen, moet de geolocatie worden opgegeven door middel van polygonen, d.w.z. breedte- en lengtecoördinaten met zes decimalen om de omtrek van elk perceel te beschrijven. Voor percelen kleiner dan 4 hectare kunnen marktdeelnemers (en niet-kmo-handelaren) een polygoon of een enkel breedte- en lengtecoördinaat met zes decimalen gebruiken om de geolocatie mee te delen. Etablissementen waar runderen worden gehouden, kunnen worden beschreven met een enkele geolocatiecoördinaat.</w:t>
      </w:r>
    </w:p>
    <w:p w14:paraId="7906726D" w14:textId="77777777" w:rsidR="002B78A6" w:rsidRPr="008733AC" w:rsidRDefault="00000000">
      <w:pPr>
        <w:pStyle w:val="Kop3"/>
        <w:numPr>
          <w:ilvl w:val="0"/>
          <w:numId w:val="2"/>
        </w:numPr>
        <w:tabs>
          <w:tab w:val="left" w:pos="459"/>
        </w:tabs>
        <w:spacing w:before="241"/>
        <w:ind w:left="459" w:hanging="359"/>
      </w:pPr>
      <w:bookmarkStart w:id="2" w:name="_bookmark2"/>
      <w:bookmarkEnd w:id="2"/>
      <w:r w:rsidRPr="008733AC">
        <w:rPr>
          <w:color w:val="404040"/>
        </w:rPr>
        <w:t>Moeten alle grondstoffen (geïmporteerd, geëxporteerd, verhandeld) traceerbaar zijn?</w:t>
      </w:r>
    </w:p>
    <w:p w14:paraId="54CA6491" w14:textId="2C656740" w:rsidR="00D10AAB" w:rsidRPr="008733AC" w:rsidRDefault="00000000" w:rsidP="00D10AAB">
      <w:pPr>
        <w:pStyle w:val="Plattetekst"/>
        <w:ind w:right="166"/>
        <w:rPr>
          <w:color w:val="404040"/>
        </w:rPr>
      </w:pPr>
      <w:r w:rsidRPr="008733AC">
        <w:rPr>
          <w:color w:val="404040"/>
        </w:rPr>
        <w:t>De traceerbaarheidsvereisten gelden voor elke partij geïmporteerde</w:t>
      </w:r>
      <w:r w:rsidR="00D10AAB" w:rsidRPr="008733AC">
        <w:rPr>
          <w:color w:val="404040"/>
        </w:rPr>
        <w:t xml:space="preserve"> </w:t>
      </w:r>
      <w:r w:rsidRPr="008733AC">
        <w:rPr>
          <w:color w:val="404040"/>
        </w:rPr>
        <w:t>/</w:t>
      </w:r>
      <w:r w:rsidR="00D10AAB" w:rsidRPr="008733AC">
        <w:rPr>
          <w:color w:val="404040"/>
        </w:rPr>
        <w:t xml:space="preserve"> </w:t>
      </w:r>
      <w:r w:rsidRPr="008733AC">
        <w:rPr>
          <w:color w:val="404040"/>
        </w:rPr>
        <w:t>geëxporteerde</w:t>
      </w:r>
      <w:r w:rsidR="00D10AAB" w:rsidRPr="008733AC">
        <w:rPr>
          <w:color w:val="404040"/>
        </w:rPr>
        <w:t xml:space="preserve"> </w:t>
      </w:r>
      <w:r w:rsidRPr="008733AC">
        <w:rPr>
          <w:color w:val="404040"/>
        </w:rPr>
        <w:t>/</w:t>
      </w:r>
      <w:r w:rsidR="00D10AAB" w:rsidRPr="008733AC">
        <w:rPr>
          <w:color w:val="404040"/>
        </w:rPr>
        <w:t xml:space="preserve"> </w:t>
      </w:r>
      <w:r w:rsidRPr="008733AC">
        <w:rPr>
          <w:color w:val="404040"/>
        </w:rPr>
        <w:t>verhandelde relevante grondstoffen.</w:t>
      </w:r>
    </w:p>
    <w:p w14:paraId="25BF0C64" w14:textId="77777777" w:rsidR="002B78A6" w:rsidRPr="008733AC" w:rsidRDefault="00000000">
      <w:pPr>
        <w:spacing w:before="240"/>
        <w:ind w:left="100" w:right="156"/>
        <w:jc w:val="both"/>
        <w:rPr>
          <w:color w:val="404040"/>
          <w:sz w:val="24"/>
        </w:rPr>
      </w:pPr>
      <w:r w:rsidRPr="008733AC">
        <w:rPr>
          <w:color w:val="404040"/>
          <w:sz w:val="24"/>
        </w:rPr>
        <w:t xml:space="preserve">De Verordening vereist dat marktdeelnemers (of niet-kmo-handelaren) </w:t>
      </w:r>
      <w:r w:rsidRPr="008733AC">
        <w:rPr>
          <w:b/>
          <w:color w:val="404040"/>
          <w:sz w:val="24"/>
        </w:rPr>
        <w:t xml:space="preserve">elke relevante grondstof </w:t>
      </w:r>
      <w:r w:rsidRPr="008733AC">
        <w:rPr>
          <w:color w:val="404040"/>
          <w:sz w:val="24"/>
        </w:rPr>
        <w:t xml:space="preserve">traceren tot aan het perceel voordat ze een relevant product beschikbaar maken of in de handel brengen, of voordat ze het exporteren. Bijgevolg is </w:t>
      </w:r>
      <w:r w:rsidRPr="008733AC">
        <w:rPr>
          <w:b/>
          <w:color w:val="404040"/>
          <w:sz w:val="24"/>
        </w:rPr>
        <w:t xml:space="preserve">de indiening van de zorgvuldigheidsverklaring met geolocatiegegevens een vereiste voor de relevante producten die worden ingevoerd </w:t>
      </w:r>
      <w:r w:rsidRPr="008733AC">
        <w:rPr>
          <w:color w:val="404040"/>
          <w:sz w:val="24"/>
        </w:rPr>
        <w:t xml:space="preserve">(douaneregeling 'in het vrije verkeer brengen') en </w:t>
      </w:r>
      <w:r w:rsidRPr="008733AC">
        <w:rPr>
          <w:color w:val="404040"/>
          <w:sz w:val="24"/>
        </w:rPr>
        <w:lastRenderedPageBreak/>
        <w:t>uitgevoerd (douaneregeling 'uitvoer') en de zending voor transacties binnen de markt.</w:t>
      </w:r>
    </w:p>
    <w:p w14:paraId="15CF5324" w14:textId="77777777" w:rsidR="002133AA" w:rsidRPr="008733AC" w:rsidRDefault="002133AA" w:rsidP="00CE6172">
      <w:pPr>
        <w:ind w:left="100" w:right="156"/>
        <w:jc w:val="both"/>
        <w:rPr>
          <w:sz w:val="24"/>
        </w:rPr>
      </w:pPr>
    </w:p>
    <w:p w14:paraId="368327CE" w14:textId="77777777" w:rsidR="002B78A6" w:rsidRPr="008733AC" w:rsidRDefault="00000000">
      <w:pPr>
        <w:pStyle w:val="Kop3"/>
        <w:numPr>
          <w:ilvl w:val="0"/>
          <w:numId w:val="2"/>
        </w:numPr>
        <w:tabs>
          <w:tab w:val="left" w:pos="459"/>
        </w:tabs>
        <w:spacing w:before="41"/>
        <w:ind w:left="459" w:hanging="359"/>
      </w:pPr>
      <w:bookmarkStart w:id="3" w:name="_bookmark3"/>
      <w:bookmarkEnd w:id="3"/>
      <w:r w:rsidRPr="008733AC">
        <w:rPr>
          <w:color w:val="404040"/>
        </w:rPr>
        <w:t>Hoe werkt het voor in bulk verhandelde of samengestelde producten?</w:t>
      </w:r>
    </w:p>
    <w:p w14:paraId="609AE40C" w14:textId="77777777" w:rsidR="002B78A6" w:rsidRPr="008733AC" w:rsidRDefault="00000000">
      <w:pPr>
        <w:pStyle w:val="Plattetekst"/>
        <w:ind w:right="156"/>
      </w:pPr>
      <w:r w:rsidRPr="008733AC">
        <w:rPr>
          <w:color w:val="404040"/>
        </w:rPr>
        <w:t xml:space="preserve">Voor producten die in </w:t>
      </w:r>
      <w:r w:rsidRPr="008733AC">
        <w:rPr>
          <w:b/>
          <w:color w:val="404040"/>
        </w:rPr>
        <w:t>bulk</w:t>
      </w:r>
      <w:r w:rsidRPr="008733AC">
        <w:rPr>
          <w:color w:val="404040"/>
        </w:rPr>
        <w:t xml:space="preserve"> worden verhandeld, zoals soja of palmolie, betekent dit dat de marktdeelnemer (of niet-kmo-handelaren) ervoor moet zorgen dat alle percelen die bij een zending betrokken zijn, worden geïdentificeerd en dat de grondstoffen in geen enkele stap van het proces worden gemengd met grondstoffen van onbekende oorsprong of uit gebieden die ontbost of aangetast zijn na de afsluitingsdatum van 31 december 2020.</w:t>
      </w:r>
    </w:p>
    <w:p w14:paraId="312B94E0" w14:textId="77777777" w:rsidR="002B78A6" w:rsidRPr="008733AC" w:rsidRDefault="00000000">
      <w:pPr>
        <w:pStyle w:val="Plattetekst"/>
        <w:spacing w:before="239"/>
        <w:ind w:right="159"/>
      </w:pPr>
      <w:r w:rsidRPr="008733AC">
        <w:rPr>
          <w:color w:val="404040"/>
        </w:rPr>
        <w:t xml:space="preserve">Voor relevante </w:t>
      </w:r>
      <w:r w:rsidRPr="008733AC">
        <w:rPr>
          <w:b/>
          <w:color w:val="404040"/>
        </w:rPr>
        <w:t>samengestelde</w:t>
      </w:r>
      <w:r w:rsidRPr="008733AC">
        <w:rPr>
          <w:color w:val="404040"/>
        </w:rPr>
        <w:t xml:space="preserve"> producten, zoals houten meubelen met verschillende houten onderdelen, moet de marktdeelnemer de geolocatie vaststellen van alle percelen waar de relevante grondstoffen (bijv. hout) die in het productieproces zijn gebruikt, zijn geproduceerd. De componenten van de relevante grondstoffen mogen niet van onbekende oorsprong zijn of afkomstig zijn uit gebieden die ontbost of aangetast zijn na de afsluitingsdatum.</w:t>
      </w:r>
    </w:p>
    <w:p w14:paraId="6FFB1A28" w14:textId="77777777" w:rsidR="002B78A6" w:rsidRPr="008733AC" w:rsidRDefault="00000000">
      <w:pPr>
        <w:pStyle w:val="Kop3"/>
        <w:numPr>
          <w:ilvl w:val="0"/>
          <w:numId w:val="2"/>
        </w:numPr>
        <w:tabs>
          <w:tab w:val="left" w:pos="459"/>
        </w:tabs>
        <w:spacing w:before="242"/>
        <w:ind w:left="459" w:hanging="359"/>
      </w:pPr>
      <w:bookmarkStart w:id="4" w:name="_bookmark4"/>
      <w:bookmarkEnd w:id="4"/>
      <w:r w:rsidRPr="008733AC">
        <w:rPr>
          <w:color w:val="404040"/>
        </w:rPr>
        <w:t>Zijn massabalansketens toegestaan?</w:t>
      </w:r>
    </w:p>
    <w:p w14:paraId="0F2766FF" w14:textId="77777777" w:rsidR="002B78A6" w:rsidRPr="008733AC" w:rsidRDefault="00000000">
      <w:pPr>
        <w:pStyle w:val="Plattetekst"/>
        <w:ind w:right="161"/>
      </w:pPr>
      <w:r w:rsidRPr="008733AC">
        <w:rPr>
          <w:color w:val="404040"/>
        </w:rPr>
        <w:t>De Verordening bepaalt dat de grondstoffen die worden gebruikt voor alle producten die onder het toepassingsgebied vallen, traceerbaar moeten zijn tot aan het perceel.</w:t>
      </w:r>
    </w:p>
    <w:p w14:paraId="75A6FEDA" w14:textId="77777777" w:rsidR="002B78A6" w:rsidRPr="008733AC" w:rsidRDefault="00000000">
      <w:pPr>
        <w:pStyle w:val="Plattetekst"/>
        <w:ind w:right="154"/>
      </w:pPr>
      <w:r w:rsidRPr="008733AC">
        <w:rPr>
          <w:color w:val="404040"/>
        </w:rPr>
        <w:t xml:space="preserve">Massabalansketens die het mogelijk maken dat ontbossingsvrije grondstoffen in enige stap van de toeleveringsketen worden gemengd met grondstoffen van onbekende oorsprong of met niet-ontbossingsvrije grondstoffen, zijn volgens de Verordening </w:t>
      </w:r>
      <w:r w:rsidRPr="008733AC">
        <w:rPr>
          <w:b/>
          <w:color w:val="404040"/>
        </w:rPr>
        <w:t>niet toegestaan</w:t>
      </w:r>
      <w:r w:rsidRPr="008733AC">
        <w:rPr>
          <w:color w:val="404040"/>
        </w:rPr>
        <w:t>, omdat ze niet garanderen dat de in de handel gebrachte of uitgevoerde grondstoffen ontbossingsvrij zijn. Daarom moeten de grondstoffen die in de handel gebracht of geëxporteerd worden bij elke stap van de toeleveringsketen gescheiden worden van grondstoffen van onbekende oorsprong of van grondstoffen die niet ontbossingsvrij zijn. Aangezien massabalans bijgevolg moet worden uitgesloten, is volledig behoud van identiteit niet nodig.</w:t>
      </w:r>
    </w:p>
    <w:p w14:paraId="228BF692" w14:textId="77777777" w:rsidR="002B78A6" w:rsidRPr="008733AC" w:rsidRDefault="00000000">
      <w:pPr>
        <w:pStyle w:val="Kop3"/>
        <w:numPr>
          <w:ilvl w:val="0"/>
          <w:numId w:val="2"/>
        </w:numPr>
        <w:tabs>
          <w:tab w:val="left" w:pos="459"/>
        </w:tabs>
        <w:spacing w:before="239"/>
        <w:ind w:left="459" w:hanging="359"/>
      </w:pPr>
      <w:bookmarkStart w:id="5" w:name="_bookmark5"/>
      <w:bookmarkEnd w:id="5"/>
      <w:r w:rsidRPr="008733AC">
        <w:rPr>
          <w:color w:val="404040"/>
        </w:rPr>
        <w:t>Wat als een deel van een product niet conform is?</w:t>
      </w:r>
    </w:p>
    <w:p w14:paraId="6E7EFECD" w14:textId="77777777" w:rsidR="002B78A6" w:rsidRPr="008733AC" w:rsidRDefault="00000000">
      <w:pPr>
        <w:spacing w:before="242"/>
        <w:ind w:left="100" w:right="156"/>
        <w:jc w:val="both"/>
        <w:rPr>
          <w:sz w:val="24"/>
        </w:rPr>
      </w:pPr>
      <w:r w:rsidRPr="008733AC">
        <w:rPr>
          <w:color w:val="404040"/>
          <w:sz w:val="24"/>
        </w:rPr>
        <w:t xml:space="preserve">Als een deel van een relevant product niet conform is, </w:t>
      </w:r>
      <w:r w:rsidRPr="008733AC">
        <w:rPr>
          <w:b/>
          <w:color w:val="404040"/>
          <w:sz w:val="24"/>
        </w:rPr>
        <w:t xml:space="preserve">moet het niet-conforme deel worden geïdentificeerd en gescheiden van de rest </w:t>
      </w:r>
      <w:r w:rsidRPr="008733AC">
        <w:rPr>
          <w:color w:val="404040"/>
          <w:sz w:val="24"/>
        </w:rPr>
        <w:t>voordat het relevante product in de handel wordt gebracht of wordt geëxporteerd, en dat deel mag niet in de handel worden gebracht of worden geëxporteerd.</w:t>
      </w:r>
    </w:p>
    <w:p w14:paraId="1901EE6B" w14:textId="77777777" w:rsidR="002B78A6" w:rsidRPr="008733AC" w:rsidRDefault="00000000">
      <w:pPr>
        <w:pStyle w:val="Plattetekst"/>
        <w:ind w:right="155"/>
      </w:pPr>
      <w:r w:rsidRPr="008733AC">
        <w:rPr>
          <w:color w:val="404040"/>
        </w:rPr>
        <w:t>Als identificatie en scheiding niet mogelijk is, bijvoorbeeld omdat de niet-conforme producten met de rest zijn vermengd, dan is het hele relevante product niet-conform aangezien niet kan worden gegarandeerd dat aan de voorwaarden van artikel 3 van de Verordening is voldaan. Het mag dan niet in de handel worden gebracht of worden uitgevoerd.</w:t>
      </w:r>
    </w:p>
    <w:p w14:paraId="7A2440BB" w14:textId="77777777" w:rsidR="002B78A6" w:rsidRPr="008733AC" w:rsidRDefault="00000000">
      <w:pPr>
        <w:pStyle w:val="Plattetekst"/>
        <w:spacing w:before="239"/>
        <w:ind w:right="167"/>
      </w:pPr>
      <w:r w:rsidRPr="008733AC">
        <w:rPr>
          <w:color w:val="404040"/>
        </w:rPr>
        <w:t>Indien bijvoorbeeld bulkgoederen allemaal gemengd zijn en gekoppeld zijn aan honderden percelen, zou het feit dat een van de percelen na 2020 ontbost is, het volledige product in kwestie niet-conform maken.</w:t>
      </w:r>
    </w:p>
    <w:p w14:paraId="5BD4392C" w14:textId="77777777" w:rsidR="002B78A6" w:rsidRPr="008733AC" w:rsidRDefault="00000000">
      <w:pPr>
        <w:pStyle w:val="Plattetekst"/>
        <w:ind w:right="161"/>
      </w:pPr>
      <w:r w:rsidRPr="008733AC">
        <w:rPr>
          <w:color w:val="404040"/>
        </w:rPr>
        <w:t xml:space="preserve">Dit doet geen afbreuk aan andere situaties, hoe dan ook gedefinieerd, waarin 100% van de </w:t>
      </w:r>
      <w:r w:rsidRPr="008733AC">
        <w:rPr>
          <w:color w:val="404040"/>
        </w:rPr>
        <w:lastRenderedPageBreak/>
        <w:t>relevante grondstoffen of relevante producten die in de handel worden gebracht 1) kan worden getraceerd tot het perceel,</w:t>
      </w:r>
    </w:p>
    <w:p w14:paraId="40BAF513" w14:textId="77777777" w:rsidR="002133AA" w:rsidRPr="008733AC" w:rsidRDefault="00000000" w:rsidP="00D10AAB">
      <w:pPr>
        <w:pStyle w:val="Plattetekst"/>
        <w:spacing w:before="0"/>
        <w:jc w:val="left"/>
        <w:rPr>
          <w:color w:val="404040"/>
        </w:rPr>
      </w:pPr>
      <w:r w:rsidRPr="008733AC">
        <w:rPr>
          <w:color w:val="404040"/>
        </w:rPr>
        <w:t>2) wettelijk en ontbossingsvrij is in de zin van de Verordening, en 3) op geen enkel moment is gemengd met grondstoffen van onbekende oorsprong of niet-ontbossingsvrije grondstoffen.</w:t>
      </w:r>
      <w:bookmarkStart w:id="6" w:name="_bookmark6"/>
      <w:bookmarkEnd w:id="6"/>
    </w:p>
    <w:p w14:paraId="65BB56CF" w14:textId="77777777" w:rsidR="002133AA" w:rsidRPr="008733AC" w:rsidRDefault="002133AA" w:rsidP="00D10AAB">
      <w:pPr>
        <w:pStyle w:val="Plattetekst"/>
        <w:spacing w:before="0"/>
        <w:jc w:val="left"/>
        <w:rPr>
          <w:color w:val="404040"/>
        </w:rPr>
      </w:pPr>
    </w:p>
    <w:p w14:paraId="0CF19324" w14:textId="5F589E3C" w:rsidR="002B78A6" w:rsidRPr="008733AC" w:rsidRDefault="00000000" w:rsidP="00CE6172">
      <w:pPr>
        <w:pStyle w:val="Kop3"/>
        <w:numPr>
          <w:ilvl w:val="0"/>
          <w:numId w:val="2"/>
        </w:numPr>
        <w:tabs>
          <w:tab w:val="left" w:pos="459"/>
        </w:tabs>
        <w:spacing w:before="0"/>
        <w:ind w:left="459" w:hanging="359"/>
      </w:pPr>
      <w:r w:rsidRPr="008733AC">
        <w:rPr>
          <w:color w:val="404040"/>
        </w:rPr>
        <w:t>Wat betekent 'perceel'?</w:t>
      </w:r>
    </w:p>
    <w:p w14:paraId="2AA67B96" w14:textId="77777777" w:rsidR="002B78A6" w:rsidRPr="008733AC" w:rsidRDefault="00000000">
      <w:pPr>
        <w:pStyle w:val="Plattetekst"/>
      </w:pPr>
      <w:r w:rsidRPr="008733AC">
        <w:rPr>
          <w:color w:val="404040"/>
        </w:rPr>
        <w:t>Het 'perceel' – het onderwerp van de geolokalisering onder de Verordening - wordt gedefinieerd in artikel 2,</w:t>
      </w:r>
    </w:p>
    <w:p w14:paraId="4FDFE31D" w14:textId="77777777" w:rsidR="002B78A6" w:rsidRPr="008733AC" w:rsidRDefault="00000000">
      <w:pPr>
        <w:pStyle w:val="Plattetekst"/>
        <w:spacing w:before="0"/>
        <w:ind w:right="160"/>
      </w:pPr>
      <w:r w:rsidRPr="008733AC">
        <w:rPr>
          <w:color w:val="404040"/>
        </w:rPr>
        <w:t>“(27) als "een stuk land binnen één onroerend goed, zoals erkend door de wetgeving van het land van productie, dat voldoende homogeen is om op geaggregeerd niveau het aan de relevante grondstoffen die op dat stuk land worden geproduceerd verbonden risico op ontbossing en bosdegradatie te kunnen beoordelen".</w:t>
      </w:r>
    </w:p>
    <w:p w14:paraId="5B189D29" w14:textId="77777777" w:rsidR="002B78A6" w:rsidRPr="008733AC" w:rsidRDefault="00000000">
      <w:pPr>
        <w:pStyle w:val="Kop3"/>
        <w:numPr>
          <w:ilvl w:val="0"/>
          <w:numId w:val="2"/>
        </w:numPr>
        <w:tabs>
          <w:tab w:val="left" w:pos="459"/>
        </w:tabs>
        <w:spacing w:before="239"/>
        <w:ind w:left="459" w:hanging="359"/>
        <w:jc w:val="both"/>
      </w:pPr>
      <w:bookmarkStart w:id="7" w:name="_bookmark7"/>
      <w:bookmarkEnd w:id="7"/>
      <w:r w:rsidRPr="008733AC">
        <w:rPr>
          <w:color w:val="404040"/>
        </w:rPr>
        <w:t>Wat zijn de regels voor een stuk land dat niet als onroerend goed wordt beschouwd?</w:t>
      </w:r>
    </w:p>
    <w:p w14:paraId="5A520EA0" w14:textId="77777777" w:rsidR="002B78A6" w:rsidRPr="008733AC" w:rsidRDefault="00000000">
      <w:pPr>
        <w:pStyle w:val="Plattetekst"/>
        <w:spacing w:line="242" w:lineRule="auto"/>
        <w:ind w:right="154"/>
      </w:pPr>
      <w:r w:rsidRPr="008733AC">
        <w:rPr>
          <w:color w:val="404040"/>
        </w:rPr>
        <w:t>Wat gebeurt er met openbare of gemeenschappelijke gronden die niet onder het begrip 'onroerend goed' vallen?</w:t>
      </w:r>
    </w:p>
    <w:p w14:paraId="1907FD13" w14:textId="77777777" w:rsidR="002B78A6" w:rsidRPr="008733AC" w:rsidRDefault="00000000">
      <w:pPr>
        <w:pStyle w:val="Plattetekst"/>
        <w:spacing w:before="236"/>
        <w:ind w:right="162"/>
      </w:pPr>
      <w:r w:rsidRPr="008733AC">
        <w:rPr>
          <w:color w:val="404040"/>
        </w:rPr>
        <w:t>De Verordening bepaalt dat producten die in de handel worden gebracht of worden geëxporteerd, op het land aangewezen als een perceel moeten worden geproduceerd of geoogst. Het ontbreken van een percelenkadaster of formele eigendomstitel zou geen belemmering mogen vormen voor het aanwijzen van land dat de facto als perceel wordt gebruikt (zie hieronder).</w:t>
      </w:r>
    </w:p>
    <w:p w14:paraId="6284796C" w14:textId="77777777" w:rsidR="002B78A6" w:rsidRPr="008733AC" w:rsidRDefault="00000000">
      <w:pPr>
        <w:pStyle w:val="Kop3"/>
        <w:numPr>
          <w:ilvl w:val="0"/>
          <w:numId w:val="2"/>
        </w:numPr>
        <w:tabs>
          <w:tab w:val="left" w:pos="459"/>
        </w:tabs>
        <w:ind w:left="459" w:hanging="359"/>
        <w:jc w:val="both"/>
      </w:pPr>
      <w:bookmarkStart w:id="8" w:name="_bookmark8"/>
      <w:bookmarkEnd w:id="8"/>
      <w:r w:rsidRPr="008733AC">
        <w:rPr>
          <w:color w:val="404040"/>
        </w:rPr>
        <w:t>Wat als er geen percelenkadasters of eigendomstitels beschikbaar zijn?</w:t>
      </w:r>
    </w:p>
    <w:p w14:paraId="0F3314EE" w14:textId="77777777" w:rsidR="002B78A6" w:rsidRPr="008733AC" w:rsidRDefault="00000000">
      <w:pPr>
        <w:pStyle w:val="Plattetekst"/>
        <w:ind w:right="163"/>
      </w:pPr>
      <w:r w:rsidRPr="008733AC">
        <w:rPr>
          <w:color w:val="404040"/>
        </w:rPr>
        <w:t>Hoe kunnen marktdeelnemers en handelaren die geen kmo's zijn geolocatiegegevens verkrijgen in landen waar er geen eigendomsregisters zijn en waar landbouwers bijvoorbeeld geen identiteitsbewijzen of eigendomstitels van hun land hebben?</w:t>
      </w:r>
    </w:p>
    <w:p w14:paraId="35B6A921" w14:textId="77777777" w:rsidR="002B78A6" w:rsidRPr="008733AC" w:rsidRDefault="00000000">
      <w:pPr>
        <w:pStyle w:val="Plattetekst"/>
        <w:spacing w:before="239"/>
        <w:ind w:right="154"/>
      </w:pPr>
      <w:r w:rsidRPr="008733AC">
        <w:rPr>
          <w:color w:val="404040"/>
        </w:rPr>
        <w:t>Landbouwers kunnen de geolocatie van hun percelen verzamelen, ongeacht het ontbreken van een kadaster of van identiteitsbewijzen of eigendomstitels. Tenzij ze directe leveranciers van de marktdeelnemers of de marktdeelnemers zelf zijn, is er geen persoonlijke informatie vereist van de landbouwers en is de geolocatie van het land dat ze bewerken voldoende, bijvoorbeeld via een applicatie op een mobiele telefoon.</w:t>
      </w:r>
    </w:p>
    <w:p w14:paraId="3B833972" w14:textId="77777777" w:rsidR="002B78A6" w:rsidRPr="008733AC" w:rsidRDefault="00000000">
      <w:pPr>
        <w:pStyle w:val="Plattetekst"/>
        <w:spacing w:before="242"/>
        <w:ind w:right="153"/>
      </w:pPr>
      <w:r w:rsidRPr="008733AC">
        <w:rPr>
          <w:color w:val="404040"/>
        </w:rPr>
        <w:t>Wat de wettigheidsvereiste betreft, vereist de Verordening dat de nationale wetgeving wordt nageleefd. Als het landbouwers wettelijk is toegestaan om hun product te verbouwen en te verkopen volgens de nationale wetgeving (die misschien geen kadaster heeft en waar sommige landbouwers misschien geen identiteitsbewijs hebben), dan zou dat ook betekenen dat marktdeelnemer (of niet-kmo-handelaren) over het algemeen aan de wettigheidsvereiste kunnen voldoen wanneer ze bij die landbouwers inkopen. Marktdeelnemers (of niet-kmo-handelaren) moeten echter nagaan of er geen risico is op onwettigheid in hun toeleveringsketens.</w:t>
      </w:r>
    </w:p>
    <w:p w14:paraId="343F97D1" w14:textId="77777777" w:rsidR="002B78A6" w:rsidRPr="008733AC" w:rsidRDefault="00000000">
      <w:pPr>
        <w:pStyle w:val="Plattetekst"/>
        <w:spacing w:before="239"/>
        <w:ind w:right="157"/>
        <w:rPr>
          <w:color w:val="404040"/>
        </w:rPr>
      </w:pPr>
      <w:r w:rsidRPr="008733AC">
        <w:rPr>
          <w:color w:val="404040"/>
        </w:rPr>
        <w:t xml:space="preserve">Er zijn veel verschillende middelen die marktdeelnemers (of niet-kmo-handelaren) vandaag al gebruiken om de informatie over geolocatie en wettigheid te verzamelen: sommigen brengen hun leveranciers rechtstreeks in kaart, terwijl anderen vertrouwen op tussenpersonen zoals coöperaties, certificeringsinstanties, nationale </w:t>
      </w:r>
      <w:r w:rsidRPr="008733AC">
        <w:rPr>
          <w:color w:val="404040"/>
        </w:rPr>
        <w:lastRenderedPageBreak/>
        <w:t>traceerbaarheidssystemen of andere bedrijven. Marktdeelnemers (of niet-kmo-handelaren) zijn wettelijk verantwoordelijk voor de juistheid van de geolocatie- en wettigheidsgegevens, ongeacht de middelen of tussenpersonen die ze gebruiken om die informatie te verzamelen.</w:t>
      </w:r>
    </w:p>
    <w:p w14:paraId="06AFF8C2" w14:textId="77777777" w:rsidR="002B78A6" w:rsidRPr="008733AC" w:rsidRDefault="00000000">
      <w:pPr>
        <w:pStyle w:val="Kop3"/>
        <w:numPr>
          <w:ilvl w:val="0"/>
          <w:numId w:val="2"/>
        </w:numPr>
        <w:tabs>
          <w:tab w:val="left" w:pos="459"/>
        </w:tabs>
        <w:ind w:left="459" w:hanging="359"/>
        <w:jc w:val="both"/>
      </w:pPr>
      <w:bookmarkStart w:id="9" w:name="_bookmark9"/>
      <w:bookmarkEnd w:id="9"/>
      <w:r w:rsidRPr="008733AC">
        <w:rPr>
          <w:color w:val="404040"/>
        </w:rPr>
        <w:t>Mag een marktdeelnemer de geolocatiegegevens van de producent gebruiken?</w:t>
      </w:r>
    </w:p>
    <w:p w14:paraId="57B3E783" w14:textId="577B6BED" w:rsidR="002B78A6" w:rsidRPr="008733AC" w:rsidRDefault="00000000" w:rsidP="00D10AAB">
      <w:pPr>
        <w:pStyle w:val="Plattetekst"/>
        <w:spacing w:before="242"/>
        <w:ind w:right="157"/>
      </w:pPr>
      <w:r w:rsidRPr="008733AC">
        <w:rPr>
          <w:color w:val="404040"/>
        </w:rPr>
        <w:t>Ja, maar het is de marktdeelnemers die uiteindelijk verantwoordelijk is voor de nauwkeurigheid, en niet de producent die de gegevens aanlevert. De Verordening is niet van toepassing op producenten (d.w.z. kleine landbouwbedrijven) die niet</w:t>
      </w:r>
      <w:r w:rsidR="00D10AAB" w:rsidRPr="008733AC">
        <w:t xml:space="preserve"> </w:t>
      </w:r>
      <w:r w:rsidR="00D10AAB" w:rsidRPr="008733AC">
        <w:rPr>
          <w:color w:val="404040"/>
        </w:rPr>
        <w:t>z</w:t>
      </w:r>
      <w:r w:rsidRPr="008733AC">
        <w:rPr>
          <w:color w:val="404040"/>
        </w:rPr>
        <w:t>elf producten in de Unie in de handel brengen (en dus niet onder de definitie van marktdeelnemers en handelaren vallen).</w:t>
      </w:r>
    </w:p>
    <w:p w14:paraId="2BC55EB6" w14:textId="77777777" w:rsidR="002B78A6" w:rsidRPr="008733AC" w:rsidRDefault="00000000">
      <w:pPr>
        <w:pStyle w:val="Plattetekst"/>
        <w:ind w:right="156"/>
      </w:pPr>
      <w:r w:rsidRPr="008733AC">
        <w:rPr>
          <w:color w:val="404040"/>
        </w:rPr>
        <w:t>In dat geval moet de marktdeelnemer garanderen dat het gebied waar de betreffende grondstof is geproduceerd correct in kaart is gebracht en dat de geolocatie overeenkomt met het perceel. Tot de risicobeoordelingsprocedures en -maatregelen die de marktdeelnemer kan gebruiken, behoren ondersteunende maatregelen voor leveranciers om aan de eisen van deze Verordening te voldoen, met name voor kleine landbouwbedrijven, door middel van capaciteitsopbouw en andere investeringen.</w:t>
      </w:r>
    </w:p>
    <w:p w14:paraId="4DCF48F4" w14:textId="77777777" w:rsidR="002B78A6" w:rsidRPr="008733AC" w:rsidRDefault="00000000">
      <w:pPr>
        <w:pStyle w:val="Kop3"/>
        <w:numPr>
          <w:ilvl w:val="0"/>
          <w:numId w:val="2"/>
        </w:numPr>
        <w:tabs>
          <w:tab w:val="left" w:pos="820"/>
        </w:tabs>
        <w:spacing w:before="239"/>
        <w:ind w:left="820" w:hanging="720"/>
      </w:pPr>
      <w:bookmarkStart w:id="10" w:name="_bookmark10"/>
      <w:bookmarkEnd w:id="10"/>
      <w:r w:rsidRPr="008733AC">
        <w:rPr>
          <w:color w:val="404040"/>
        </w:rPr>
        <w:t>Moeten marktdeelnemers de geolocatie controleren?</w:t>
      </w:r>
    </w:p>
    <w:p w14:paraId="242E9481" w14:textId="77777777" w:rsidR="002B78A6" w:rsidRPr="008733AC" w:rsidRDefault="00000000">
      <w:pPr>
        <w:spacing w:before="242"/>
        <w:ind w:left="100" w:right="155"/>
        <w:jc w:val="both"/>
        <w:rPr>
          <w:b/>
          <w:sz w:val="24"/>
        </w:rPr>
      </w:pPr>
      <w:r w:rsidRPr="008733AC">
        <w:rPr>
          <w:color w:val="404040"/>
          <w:sz w:val="24"/>
        </w:rPr>
        <w:t xml:space="preserve">Marktdeelnemers en handelaren die geen kmo's zijn, </w:t>
      </w:r>
      <w:r w:rsidRPr="008733AC">
        <w:rPr>
          <w:b/>
          <w:color w:val="404040"/>
          <w:sz w:val="24"/>
        </w:rPr>
        <w:t>moeten de geolocatie verifiëren en bewijzen dat ze correct is.</w:t>
      </w:r>
    </w:p>
    <w:p w14:paraId="2A03E6DE" w14:textId="77777777" w:rsidR="002B78A6" w:rsidRPr="008733AC" w:rsidRDefault="00000000">
      <w:pPr>
        <w:pStyle w:val="Plattetekst"/>
        <w:ind w:right="159"/>
      </w:pPr>
      <w:r w:rsidRPr="008733AC">
        <w:rPr>
          <w:color w:val="404040"/>
        </w:rPr>
        <w:t>Het waarborgen van de waarachtigheid en nauwkeurigheid van geolocatiegegevens is een cruciaal aspect van de verantwoordelijkheden die marktdeelnemers en handelaren moeten vervullen. Onjuiste geolocatiegegevens verstrekken, zou een inbreuk vormen op de verplichtingen van marktdeelnemers (en niet-kmo-handelaren) uit hoofde van de Verordening.</w:t>
      </w:r>
    </w:p>
    <w:p w14:paraId="72BC897E" w14:textId="77777777" w:rsidR="002B78A6" w:rsidRPr="008733AC" w:rsidRDefault="00000000">
      <w:pPr>
        <w:pStyle w:val="Kop3"/>
        <w:numPr>
          <w:ilvl w:val="0"/>
          <w:numId w:val="2"/>
        </w:numPr>
        <w:tabs>
          <w:tab w:val="left" w:pos="820"/>
        </w:tabs>
        <w:ind w:left="820" w:hanging="720"/>
      </w:pPr>
      <w:bookmarkStart w:id="11" w:name="_bookmark11"/>
      <w:bookmarkEnd w:id="11"/>
      <w:r w:rsidRPr="008733AC">
        <w:rPr>
          <w:color w:val="404040"/>
        </w:rPr>
        <w:t>Moet de zorgvuldigheidsprocedure herhaald worden voor producten van hetzelfde stuk land?</w:t>
      </w:r>
    </w:p>
    <w:p w14:paraId="45F3A57A" w14:textId="77777777" w:rsidR="002B78A6" w:rsidRPr="008733AC" w:rsidRDefault="00000000">
      <w:pPr>
        <w:pStyle w:val="Plattetekst"/>
        <w:ind w:right="154"/>
      </w:pPr>
      <w:r w:rsidRPr="008733AC">
        <w:rPr>
          <w:color w:val="404040"/>
        </w:rPr>
        <w:t xml:space="preserve">De geolocatiegegevens die verplicht moet worden verstrekt in de zorgvuldigheidsverklaringen, via het informatiesysteem, zijn gekoppeld aan elk relevant product. Marktdeelnemers (of niet-kmo-handelaren) zullen </w:t>
      </w:r>
      <w:r w:rsidRPr="008733AC">
        <w:rPr>
          <w:b/>
          <w:color w:val="404040"/>
        </w:rPr>
        <w:t xml:space="preserve">deze informatie dus telkens moeten vermelden </w:t>
      </w:r>
      <w:r w:rsidRPr="008733AC">
        <w:rPr>
          <w:color w:val="404040"/>
        </w:rPr>
        <w:t>wanneer ze van plan zijn een relevant product in de handel te brengen, op de markt aan te bieden of uit te voeren. De zorgvuldigheidsprocedure moet worden herhaald (d.w.z. bijgewerkt) voor elk relevant product, inclusief het verstrekken van de desbetreffende geolocatiecoördinaten.</w:t>
      </w:r>
    </w:p>
    <w:p w14:paraId="2F201928" w14:textId="77777777" w:rsidR="002B78A6" w:rsidRPr="008733AC" w:rsidRDefault="00000000">
      <w:pPr>
        <w:pStyle w:val="Kop3"/>
        <w:numPr>
          <w:ilvl w:val="0"/>
          <w:numId w:val="2"/>
        </w:numPr>
        <w:tabs>
          <w:tab w:val="left" w:pos="820"/>
        </w:tabs>
        <w:spacing w:before="239"/>
        <w:ind w:left="820" w:hanging="720"/>
      </w:pPr>
      <w:bookmarkStart w:id="12" w:name="_bookmark12"/>
      <w:bookmarkEnd w:id="12"/>
      <w:r w:rsidRPr="008733AC">
        <w:rPr>
          <w:color w:val="404040"/>
        </w:rPr>
        <w:t>Kan een polygoon meerdere percelen omvatten?</w:t>
      </w:r>
    </w:p>
    <w:p w14:paraId="7D71D338" w14:textId="77777777" w:rsidR="002B78A6" w:rsidRPr="008733AC" w:rsidRDefault="00000000">
      <w:pPr>
        <w:pStyle w:val="Plattetekst"/>
        <w:spacing w:before="242"/>
        <w:ind w:right="156"/>
      </w:pPr>
      <w:r w:rsidRPr="008733AC">
        <w:rPr>
          <w:color w:val="404040"/>
        </w:rPr>
        <w:t xml:space="preserve">Polygonen moeten worden gebruikt om de omtrek te beschrijven van de percelen waar de grondstof is geproduceerd. </w:t>
      </w:r>
      <w:r w:rsidRPr="008733AC">
        <w:rPr>
          <w:b/>
          <w:color w:val="404040"/>
        </w:rPr>
        <w:t>Elke polygoon moet één enkel stuk perceel aanduiden, al dan niet aangrenzend.</w:t>
      </w:r>
      <w:r w:rsidRPr="008733AC">
        <w:rPr>
          <w:color w:val="404040"/>
        </w:rPr>
        <w:t xml:space="preserve"> Verschillende polygonen moeten worden verstrekt in één zorgvuldigheidsverklaring als een relevant product is gemaakt van grondstoffen van verschillende percelen. Een polygoon kan niet worden gebruikt om de omtrek te bepalen van een willekeurig gebied dat mogelijk slechts in enkele delen ervan percelen bevat.</w:t>
      </w:r>
    </w:p>
    <w:p w14:paraId="12C0F452" w14:textId="77777777" w:rsidR="002B78A6" w:rsidRPr="008733AC" w:rsidRDefault="00000000">
      <w:pPr>
        <w:pStyle w:val="Kop3"/>
        <w:numPr>
          <w:ilvl w:val="0"/>
          <w:numId w:val="2"/>
        </w:numPr>
        <w:tabs>
          <w:tab w:val="left" w:pos="820"/>
        </w:tabs>
        <w:spacing w:before="239"/>
        <w:ind w:left="820" w:hanging="720"/>
      </w:pPr>
      <w:bookmarkStart w:id="13" w:name="_bookmark13"/>
      <w:bookmarkEnd w:id="13"/>
      <w:r w:rsidRPr="008733AC">
        <w:rPr>
          <w:color w:val="404040"/>
        </w:rPr>
        <w:lastRenderedPageBreak/>
        <w:t>Moeten polygonen worden verstrekt op basis van een omtrek?</w:t>
      </w:r>
    </w:p>
    <w:p w14:paraId="0F69B3B3" w14:textId="77777777" w:rsidR="002B78A6" w:rsidRPr="008733AC" w:rsidRDefault="00000000">
      <w:pPr>
        <w:pStyle w:val="Plattetekst"/>
        <w:ind w:right="157"/>
      </w:pPr>
      <w:r w:rsidRPr="008733AC">
        <w:rPr>
          <w:color w:val="404040"/>
        </w:rPr>
        <w:t xml:space="preserve">Er is geen verplichting noch mogelijkheid om gegevens over het perceel te verstrekken door middel van een omtrek. </w:t>
      </w:r>
      <w:r w:rsidRPr="008733AC">
        <w:rPr>
          <w:b/>
          <w:color w:val="404040"/>
        </w:rPr>
        <w:t xml:space="preserve">Voor percelen van meer dan vier hectare </w:t>
      </w:r>
      <w:r w:rsidRPr="008733AC">
        <w:rPr>
          <w:color w:val="404040"/>
        </w:rPr>
        <w:t>(voor de productie van andere grondstoffen dan runderen) moet de geolocatie worden opgegeven door middel van polygonen (geen centraal punt met een omtrek) met voldoende breedte- en lengtecoördinaten om de grenzen van elk perceel te beschrijven.</w:t>
      </w:r>
    </w:p>
    <w:p w14:paraId="651F9F8F" w14:textId="77777777" w:rsidR="002B78A6" w:rsidRPr="008733AC" w:rsidRDefault="00000000">
      <w:pPr>
        <w:pStyle w:val="Kop3"/>
        <w:numPr>
          <w:ilvl w:val="0"/>
          <w:numId w:val="2"/>
        </w:numPr>
        <w:tabs>
          <w:tab w:val="left" w:pos="820"/>
        </w:tabs>
        <w:ind w:left="820" w:hanging="720"/>
      </w:pPr>
      <w:bookmarkStart w:id="14" w:name="_bookmark14"/>
      <w:bookmarkEnd w:id="14"/>
      <w:r w:rsidRPr="008733AC">
        <w:rPr>
          <w:color w:val="404040"/>
        </w:rPr>
        <w:t>Hoe moet de oorsprong van gemengde goederen worden aangegeven?</w:t>
      </w:r>
    </w:p>
    <w:p w14:paraId="0939205F" w14:textId="77777777" w:rsidR="002B78A6" w:rsidRPr="008733AC" w:rsidRDefault="00000000">
      <w:pPr>
        <w:pStyle w:val="Plattetekst"/>
      </w:pPr>
      <w:r w:rsidRPr="008733AC">
        <w:rPr>
          <w:color w:val="404040"/>
        </w:rPr>
        <w:t>De marktdeelnemer moet de oorsprong aangeven van alle goederen die daadwerkelijk naar de EU worden verzonden.</w:t>
      </w:r>
    </w:p>
    <w:p w14:paraId="527BDC24" w14:textId="77777777" w:rsidR="002B78A6" w:rsidRPr="008733AC" w:rsidRDefault="002B78A6"/>
    <w:p w14:paraId="3E8247FD" w14:textId="77777777" w:rsidR="002B78A6" w:rsidRPr="008733AC" w:rsidRDefault="00000000">
      <w:pPr>
        <w:pStyle w:val="Plattetekst"/>
        <w:spacing w:before="41"/>
        <w:ind w:right="166"/>
      </w:pPr>
      <w:r w:rsidRPr="008733AC">
        <w:rPr>
          <w:color w:val="404040"/>
        </w:rPr>
        <w:t>Bijvoorbeeld, als conforme goederen van verschillende oorsprong in dezelfde silo worden gemengd, en sommige van die goederen vervolgens naar de EU worden verzonden:</w:t>
      </w:r>
    </w:p>
    <w:p w14:paraId="27107C05" w14:textId="77777777" w:rsidR="002B78A6" w:rsidRPr="008733AC" w:rsidRDefault="00000000">
      <w:pPr>
        <w:pStyle w:val="Lijstalinea"/>
        <w:numPr>
          <w:ilvl w:val="1"/>
          <w:numId w:val="2"/>
        </w:numPr>
        <w:tabs>
          <w:tab w:val="left" w:pos="460"/>
        </w:tabs>
        <w:ind w:right="161"/>
        <w:jc w:val="both"/>
        <w:rPr>
          <w:sz w:val="24"/>
        </w:rPr>
      </w:pPr>
      <w:r w:rsidRPr="008733AC">
        <w:rPr>
          <w:color w:val="404040"/>
          <w:sz w:val="24"/>
        </w:rPr>
        <w:t xml:space="preserve">De oorsprong die bij aankomst in de EU wordt aangegeven, </w:t>
      </w:r>
      <w:r w:rsidRPr="008733AC">
        <w:rPr>
          <w:b/>
          <w:color w:val="404040"/>
          <w:sz w:val="24"/>
        </w:rPr>
        <w:t xml:space="preserve">moet de oorsprong omvatten van alle goederen die de silo zijn binnengekomen sinds deze voor het laatst leeg was </w:t>
      </w:r>
      <w:r w:rsidRPr="008733AC">
        <w:rPr>
          <w:color w:val="404040"/>
          <w:sz w:val="24"/>
        </w:rPr>
        <w:t>(en die dus mogelijk deel uitmaken van de zending naar de EU)</w:t>
      </w:r>
    </w:p>
    <w:p w14:paraId="3E728DC1" w14:textId="77777777" w:rsidR="002B78A6" w:rsidRPr="008733AC" w:rsidRDefault="00000000">
      <w:pPr>
        <w:pStyle w:val="Lijstalinea"/>
        <w:numPr>
          <w:ilvl w:val="1"/>
          <w:numId w:val="2"/>
        </w:numPr>
        <w:tabs>
          <w:tab w:val="left" w:pos="460"/>
        </w:tabs>
        <w:spacing w:before="239"/>
        <w:ind w:right="159"/>
        <w:jc w:val="both"/>
        <w:rPr>
          <w:sz w:val="24"/>
        </w:rPr>
      </w:pPr>
      <w:r w:rsidRPr="008733AC">
        <w:rPr>
          <w:color w:val="404040"/>
          <w:sz w:val="24"/>
        </w:rPr>
        <w:t xml:space="preserve">Het aangeven van de oorsprong van een 'x' hoeveelheid goederen die de silo is binnengekomen, waarbij 'x' de naar de EU verzonden hoeveelheid is, is krachtens de Verordening </w:t>
      </w:r>
      <w:r w:rsidRPr="008733AC">
        <w:rPr>
          <w:b/>
          <w:color w:val="404040"/>
          <w:sz w:val="24"/>
        </w:rPr>
        <w:t>niet toegestaan</w:t>
      </w:r>
      <w:r w:rsidRPr="008733AC">
        <w:rPr>
          <w:color w:val="404040"/>
          <w:sz w:val="24"/>
        </w:rPr>
        <w:t>, aangezien dit in strijd zou zijn met het verbod uit de Verordening om producten van onbekende oorsprong de markt van de Unie te laten betreden.</w:t>
      </w:r>
    </w:p>
    <w:p w14:paraId="4BB4F8F5" w14:textId="77777777" w:rsidR="002B78A6" w:rsidRPr="008733AC" w:rsidRDefault="00000000">
      <w:pPr>
        <w:pStyle w:val="Kop3"/>
        <w:numPr>
          <w:ilvl w:val="0"/>
          <w:numId w:val="2"/>
        </w:numPr>
        <w:tabs>
          <w:tab w:val="left" w:pos="820"/>
        </w:tabs>
        <w:spacing w:before="242"/>
        <w:ind w:left="820" w:hanging="720"/>
      </w:pPr>
      <w:bookmarkStart w:id="15" w:name="_bookmark15"/>
      <w:bookmarkEnd w:id="15"/>
      <w:r w:rsidRPr="008733AC">
        <w:rPr>
          <w:color w:val="404040"/>
        </w:rPr>
        <w:t>Kunnen marktdeelnemer land opnemen waar de grondstof niet werd geproduceerd?</w:t>
      </w:r>
    </w:p>
    <w:p w14:paraId="78BFB2A8" w14:textId="77777777" w:rsidR="002B78A6" w:rsidRPr="008733AC" w:rsidRDefault="00000000">
      <w:pPr>
        <w:spacing w:before="240"/>
        <w:ind w:left="100" w:right="154"/>
        <w:jc w:val="both"/>
        <w:rPr>
          <w:b/>
          <w:sz w:val="24"/>
        </w:rPr>
      </w:pPr>
      <w:r w:rsidRPr="008733AC">
        <w:rPr>
          <w:color w:val="404040"/>
          <w:sz w:val="24"/>
        </w:rPr>
        <w:t xml:space="preserve">De strekking van de Verordening is dat er een verband moet zijn tussen de goederen/producten die in de handel worden gebracht en de percelen waar ze daadwerkelijk zijn geproduceerd. In specifieke omstandigheden </w:t>
      </w:r>
      <w:r w:rsidRPr="008733AC">
        <w:rPr>
          <w:b/>
          <w:color w:val="404040"/>
          <w:sz w:val="24"/>
        </w:rPr>
        <w:t>kan een marktdeelnemer echter geolocatiecoördinaten verstrekken voor een aantal percelen dat groter is dan het aantal waar de grondstoffen zijn geproduceerd.</w:t>
      </w:r>
    </w:p>
    <w:p w14:paraId="6D35C732" w14:textId="77777777" w:rsidR="002B78A6" w:rsidRPr="008733AC" w:rsidRDefault="00000000">
      <w:pPr>
        <w:pStyle w:val="Plattetekst"/>
        <w:ind w:right="153"/>
        <w:rPr>
          <w:color w:val="404040"/>
        </w:rPr>
      </w:pPr>
      <w:r w:rsidRPr="008733AC">
        <w:rPr>
          <w:color w:val="404040"/>
        </w:rPr>
        <w:t>Als de marktdeelnemer in de zorgvuldigheidsverklaring 'te veel' aangeeft, neemt de marktdeelnemer de volledige verantwoordelijkheid op zich voor de naleving van de voorschriften voor ALLE percelen waarvoor de geolocatie wordt verstrekt, ongeacht of deze percelen betrokken zijn bij de productie van grondstoffen/producten die uiteindelijk in de handel worden gebracht. Als één perceel met geolokalisering in het zorgvuldigheidsoverzicht niet voldoet aan de vereisten, voldoet de hele reeks percelen met geolokalisering niet aan de vereisten. In deze gevallen moet de marktdeelnemer die te veel percelen aangeeft, ook de volledige zorgvuldigheidsprocedure uitvoeren overeenkomstig de artikelen 9, 10 en 11 voor ALLE aangegeven percelen (inclusief de percelen 'te veel') en moet hij bewijs leveren dat 1) het risico van niet-naleving overeenkomstig artikel 10, lid 2 voor ALLE percelen is beoordeeld, en 2) de marktdeelnemer bij die beoordeling in het bijzonder rekening heeft gehouden met de criteria i) en j) van artikel 10 en 3) dat dat risico voor ALLE percelen verwaarloosbaar is</w:t>
      </w:r>
    </w:p>
    <w:p w14:paraId="5DA1EF37" w14:textId="77777777" w:rsidR="00CE6172" w:rsidRPr="008733AC" w:rsidRDefault="00CE6172">
      <w:pPr>
        <w:pStyle w:val="Plattetekst"/>
        <w:ind w:right="153"/>
      </w:pPr>
    </w:p>
    <w:p w14:paraId="4327C638" w14:textId="77777777" w:rsidR="002B78A6" w:rsidRPr="008733AC" w:rsidRDefault="00000000">
      <w:pPr>
        <w:pStyle w:val="Kop3"/>
        <w:numPr>
          <w:ilvl w:val="0"/>
          <w:numId w:val="2"/>
        </w:numPr>
        <w:tabs>
          <w:tab w:val="left" w:pos="820"/>
        </w:tabs>
        <w:spacing w:before="241"/>
        <w:ind w:left="820" w:hanging="720"/>
      </w:pPr>
      <w:bookmarkStart w:id="16" w:name="_bookmark16"/>
      <w:bookmarkEnd w:id="16"/>
      <w:r w:rsidRPr="008733AC">
        <w:rPr>
          <w:color w:val="404040"/>
        </w:rPr>
        <w:lastRenderedPageBreak/>
        <w:t>Hoe zullen claims op basis van geolocatie in de praktijk worden gecontroleerd?</w:t>
      </w:r>
    </w:p>
    <w:p w14:paraId="67EC3253" w14:textId="77777777" w:rsidR="002B78A6" w:rsidRPr="008733AC" w:rsidRDefault="00000000">
      <w:pPr>
        <w:pStyle w:val="Plattetekst"/>
        <w:ind w:right="157"/>
      </w:pPr>
      <w:r w:rsidRPr="008733AC">
        <w:rPr>
          <w:color w:val="404040"/>
        </w:rPr>
        <w:t>Hoe maakt geolokalisering het mogelijk om de geldigheid te controleren van een 'ontbossingsvrij'-claim? Worden satellietnavigatiesystemen en ontbossingskaarten op elkaar afgestemd? Zullen er basiskaarten zijn van bosgebieden of gebieden die ontbossing en bosdegradatie hebben ondergaan? Hoe werkt het als de geolocatie van boerderijen, plantages of concessieterreinen niet beschikbaar is?</w:t>
      </w:r>
    </w:p>
    <w:p w14:paraId="6B538E24" w14:textId="77777777" w:rsidR="002B78A6" w:rsidRPr="008733AC" w:rsidRDefault="00000000">
      <w:pPr>
        <w:pStyle w:val="Plattetekst"/>
        <w:spacing w:before="239"/>
        <w:ind w:right="159"/>
      </w:pPr>
      <w:r w:rsidRPr="008733AC">
        <w:rPr>
          <w:color w:val="404040"/>
        </w:rPr>
        <w:t>Het is de verantwoordelijkheid van de marktdeelnemers (of niet-kmo-handelaren) om de geolocatiecoördinaten te verzamelen van de percelen waar de grondstoffen zijn geproduceerd. Als de marktdeelnemer de geolocatie van alle percelen die bijdragen aan een relevant product niet kan verzamelen, mag hij dat product niet in de handel brengen of uitvoeren overeenkomstig artikel 3 van de Verordening.</w:t>
      </w:r>
    </w:p>
    <w:p w14:paraId="7F80DBCF" w14:textId="77777777" w:rsidR="002B78A6" w:rsidRPr="008733AC" w:rsidRDefault="00000000">
      <w:pPr>
        <w:pStyle w:val="Plattetekst"/>
        <w:ind w:right="154"/>
        <w:rPr>
          <w:color w:val="404040"/>
        </w:rPr>
      </w:pPr>
      <w:r w:rsidRPr="008733AC">
        <w:rPr>
          <w:color w:val="404040"/>
        </w:rPr>
        <w:t>Marktdeelnemers (en niet-kmo-handelaren) en handhavingsautoriteiten zouden de geolocatiecoördinaten kunnen vergelijken met satellietbeelden of kaarten van de bosbedekking om te beoordelen of de producten voldoen aan de vereiste van de Verordening dat producten ontbossingsvrij zijn. De marktdeelnemers (en niet-kmo-handelaren) blijven echter aansprakelijk.</w:t>
      </w:r>
    </w:p>
    <w:p w14:paraId="37D59B11" w14:textId="77777777" w:rsidR="00933051" w:rsidRPr="008733AC" w:rsidRDefault="00933051" w:rsidP="00933051">
      <w:pPr>
        <w:pStyle w:val="Plattetekst"/>
        <w:spacing w:before="0"/>
        <w:ind w:right="154"/>
      </w:pPr>
    </w:p>
    <w:p w14:paraId="22D32646" w14:textId="77777777" w:rsidR="002B78A6" w:rsidRPr="008733AC" w:rsidRDefault="00000000">
      <w:pPr>
        <w:pStyle w:val="Kop3"/>
        <w:numPr>
          <w:ilvl w:val="0"/>
          <w:numId w:val="2"/>
        </w:numPr>
        <w:tabs>
          <w:tab w:val="left" w:pos="820"/>
        </w:tabs>
        <w:spacing w:before="41"/>
        <w:ind w:left="820" w:hanging="720"/>
      </w:pPr>
      <w:bookmarkStart w:id="17" w:name="_bookmark17"/>
      <w:bookmarkEnd w:id="17"/>
      <w:r w:rsidRPr="008733AC">
        <w:rPr>
          <w:color w:val="404040"/>
        </w:rPr>
        <w:t>Hoe zal de EU de geldigheid van een 'ontbossingsvrij'-claim controleren?</w:t>
      </w:r>
    </w:p>
    <w:p w14:paraId="1970189C" w14:textId="77777777" w:rsidR="002B78A6" w:rsidRPr="008733AC" w:rsidRDefault="00000000">
      <w:pPr>
        <w:pStyle w:val="Plattetekst"/>
        <w:ind w:right="154"/>
      </w:pPr>
      <w:r w:rsidRPr="008733AC">
        <w:rPr>
          <w:color w:val="404040"/>
        </w:rPr>
        <w:t>De bevoegde autoriteiten van de EU-lidstaten moeten, overeenkomstig hun verplichting krachtens artikel 16, controles uitvoeren om vast te stellen of de relevante grondstoffen en producten die in de handel zijn of zullen worden gebracht of op de markt zullen worden aangeboden of zullen worden geëxporteerd, afkomstig zijn van ontbossingsvrije percelen en wettelijk zijn geproduceerd. Dit omvat het uitvoeren van controles op de geldigheid van de zorgvuldigheidsverklaringen en de algemene naleving van de bepalingen van de Verordening door de marktdeelnemers en handelaren.</w:t>
      </w:r>
    </w:p>
    <w:p w14:paraId="7C6CCF97" w14:textId="77777777" w:rsidR="002B78A6" w:rsidRPr="008733AC" w:rsidRDefault="00000000">
      <w:pPr>
        <w:pStyle w:val="Plattetekst"/>
        <w:spacing w:before="239" w:line="242" w:lineRule="auto"/>
        <w:ind w:right="159"/>
      </w:pPr>
      <w:r w:rsidRPr="008733AC">
        <w:rPr>
          <w:color w:val="404040"/>
        </w:rPr>
        <w:t xml:space="preserve">Raadpleeg artikelen 18 en 19 van de Verordening voor meer informatie over de reikwijdte van de verplichtingen van de bevoegde autoriteiten van de EU-lidstaten. </w:t>
      </w:r>
    </w:p>
    <w:p w14:paraId="7564D986" w14:textId="77777777" w:rsidR="002B78A6" w:rsidRPr="008733AC" w:rsidRDefault="00000000">
      <w:pPr>
        <w:pStyle w:val="Kop3"/>
        <w:numPr>
          <w:ilvl w:val="0"/>
          <w:numId w:val="2"/>
        </w:numPr>
        <w:tabs>
          <w:tab w:val="left" w:pos="820"/>
        </w:tabs>
        <w:spacing w:before="236"/>
        <w:ind w:left="820" w:hanging="720"/>
      </w:pPr>
      <w:bookmarkStart w:id="18" w:name="_bookmark18"/>
      <w:bookmarkEnd w:id="18"/>
      <w:r w:rsidRPr="008733AC">
        <w:rPr>
          <w:color w:val="404040"/>
        </w:rPr>
        <w:t>Zullen de bevoegde autoriteiten de definities uit de Verordening hanteren?</w:t>
      </w:r>
    </w:p>
    <w:p w14:paraId="38F9EBAE" w14:textId="77777777" w:rsidR="002B78A6" w:rsidRPr="008733AC" w:rsidRDefault="00000000">
      <w:pPr>
        <w:spacing w:before="241"/>
        <w:ind w:left="100" w:right="153"/>
        <w:jc w:val="both"/>
        <w:rPr>
          <w:sz w:val="24"/>
        </w:rPr>
      </w:pPr>
      <w:r w:rsidRPr="008733AC">
        <w:rPr>
          <w:color w:val="404040"/>
          <w:sz w:val="24"/>
        </w:rPr>
        <w:t xml:space="preserve">In het kader van de uitvoering van deze Verordening </w:t>
      </w:r>
      <w:r w:rsidRPr="008733AC">
        <w:rPr>
          <w:b/>
          <w:color w:val="404040"/>
          <w:sz w:val="24"/>
        </w:rPr>
        <w:t>hanteren de bevoegde autoriteiten van de EU-lidstaten de definities uiteengezet in artikel 2 van de Verordening</w:t>
      </w:r>
      <w:r w:rsidRPr="008733AC">
        <w:rPr>
          <w:color w:val="404040"/>
          <w:sz w:val="24"/>
        </w:rPr>
        <w:t>. Een verordening is een bindende wetgevingshandeling in de EU. Ze moet in haar geheel en op geharmoniseerde wijze worden toegepast in alle 27 EU-lidstaten.</w:t>
      </w:r>
    </w:p>
    <w:p w14:paraId="66D351BE" w14:textId="77777777" w:rsidR="002B78A6" w:rsidRPr="008733AC" w:rsidRDefault="00000000">
      <w:pPr>
        <w:pStyle w:val="Kop3"/>
        <w:numPr>
          <w:ilvl w:val="0"/>
          <w:numId w:val="2"/>
        </w:numPr>
        <w:tabs>
          <w:tab w:val="left" w:pos="820"/>
        </w:tabs>
        <w:spacing w:before="239"/>
        <w:ind w:left="820" w:hanging="720"/>
      </w:pPr>
      <w:bookmarkStart w:id="19" w:name="_bookmark19"/>
      <w:bookmarkEnd w:id="19"/>
      <w:r w:rsidRPr="008733AC">
        <w:rPr>
          <w:color w:val="404040"/>
        </w:rPr>
        <w:t>Hoe moeten polygonen in het shapefile-formaat worden aangegeven?</w:t>
      </w:r>
    </w:p>
    <w:p w14:paraId="53F3D691" w14:textId="77777777" w:rsidR="002B78A6" w:rsidRPr="008733AC" w:rsidRDefault="00000000">
      <w:pPr>
        <w:spacing w:before="240"/>
        <w:ind w:left="100" w:right="156"/>
        <w:jc w:val="both"/>
        <w:rPr>
          <w:sz w:val="24"/>
        </w:rPr>
      </w:pPr>
      <w:r w:rsidRPr="008733AC">
        <w:rPr>
          <w:color w:val="404040"/>
          <w:sz w:val="24"/>
        </w:rPr>
        <w:t xml:space="preserve">De gedetailleerde regels voor de werking van het informatiesysteem zullen worden vastgesteld door middel van een uitvoeringshandeling. De belanghebbenden zullen over deze ontwikkelingen worden geïnformeerd en geraadpleegd via het multistakeholderplatform voor de bescherming en het herstel van de bossen wereldwijd. Het informatiesysteem zal, waar mogelijk, het werk van marktdeelnemers vergemakkelijken </w:t>
      </w:r>
      <w:r w:rsidRPr="008733AC">
        <w:rPr>
          <w:b/>
          <w:color w:val="404040"/>
          <w:sz w:val="24"/>
        </w:rPr>
        <w:t xml:space="preserve">door het mogelijk te maken een aantal veelgebruikte geolocatieformaten rechtstreeks in het systeem te uploaden bij het meedelen van polygonen in een zorgvuldigheidsverklaring. </w:t>
      </w:r>
      <w:r w:rsidRPr="008733AC">
        <w:rPr>
          <w:color w:val="404040"/>
          <w:sz w:val="24"/>
        </w:rPr>
        <w:t xml:space="preserve">Het informatiesysteem zal in de loop van de tijd evolueren en </w:t>
      </w:r>
      <w:r w:rsidRPr="008733AC">
        <w:rPr>
          <w:color w:val="404040"/>
          <w:sz w:val="24"/>
        </w:rPr>
        <w:lastRenderedPageBreak/>
        <w:t>verder worden uitgewerkt op basis van feedback van gebruikers.</w:t>
      </w:r>
    </w:p>
    <w:p w14:paraId="4C7B4BC5" w14:textId="77777777" w:rsidR="002B78A6" w:rsidRPr="008733AC" w:rsidRDefault="00000000">
      <w:pPr>
        <w:pStyle w:val="Kop3"/>
        <w:numPr>
          <w:ilvl w:val="0"/>
          <w:numId w:val="2"/>
        </w:numPr>
        <w:tabs>
          <w:tab w:val="left" w:pos="820"/>
        </w:tabs>
        <w:spacing w:before="241"/>
        <w:ind w:left="820" w:hanging="720"/>
      </w:pPr>
      <w:bookmarkStart w:id="20" w:name="_bookmark20"/>
      <w:bookmarkEnd w:id="20"/>
      <w:r w:rsidRPr="008733AC">
        <w:rPr>
          <w:color w:val="404040"/>
        </w:rPr>
        <w:t>Wat is traceerbaarheid van de toeleveringsketen?</w:t>
      </w:r>
    </w:p>
    <w:p w14:paraId="3116AF44" w14:textId="77777777" w:rsidR="002B78A6" w:rsidRPr="008733AC" w:rsidRDefault="00000000">
      <w:pPr>
        <w:pStyle w:val="Plattetekst"/>
        <w:ind w:right="160"/>
      </w:pPr>
      <w:r w:rsidRPr="008733AC">
        <w:rPr>
          <w:color w:val="404040"/>
        </w:rPr>
        <w:t>De informatie, documenten en gegevens die marktdeelnemers en handelaren die geen kmo's zijn, moeten verzamelen en gedurende 5 jaar bewaren om aan te tonen dat ze aan de Verordening voldoen, worden opgesomd in artikel 9 en bijlage II, alsook in artikel 2, lid 28, met betrekking tot geolocatiegegevens</w:t>
      </w:r>
    </w:p>
    <w:p w14:paraId="4E4E905B" w14:textId="77777777" w:rsidR="002B78A6" w:rsidRPr="008733AC" w:rsidRDefault="00000000">
      <w:pPr>
        <w:pStyle w:val="Plattetekst"/>
        <w:ind w:right="154"/>
      </w:pPr>
      <w:r w:rsidRPr="008733AC">
        <w:rPr>
          <w:color w:val="404040"/>
        </w:rPr>
        <w:t>Marktdeelnemers (en niet-kmo-handelaren) moeten zorgvuldigheid betrachten met betrekking tot alle relevante producten die door elke specifieke leverancier worden geleverd. Daarom moeten ze een stelsel van zorgvuldigheidseisen invoeren dat het verzamelen van de informatie, gegevens en documenten omvat die nodig zijn om te voldoen aan de vereisten van artikel 9; risicobeoordelingsmaatregelen zoals beschreven in artikel 10; risicobeperkende maatregelen zoals beschreven in artikel 11. De vereisten voor de vaststelling en het onderhoud van stelsels van zorgvuldigheidseisen, rapportage en registers worden uiteengezet in artikel 12. Marktdeelnemers moeten aan de marktdeelnemers en handelaren stroomafwaarts in de toeleveringsketen alle informatie verstrekken die nodig is om aan te tonen dat de nodige zorgvuldigheid is betracht en dat er geen of slechts een verwaarloosbaar risico is vastgesteld.</w:t>
      </w:r>
    </w:p>
    <w:p w14:paraId="764466C2" w14:textId="77777777" w:rsidR="00D10AAB" w:rsidRPr="008733AC" w:rsidRDefault="00000000" w:rsidP="00D10AAB">
      <w:pPr>
        <w:pStyle w:val="Plattetekst"/>
        <w:spacing w:before="239"/>
        <w:ind w:right="163"/>
        <w:rPr>
          <w:color w:val="404040"/>
        </w:rPr>
      </w:pPr>
      <w:r w:rsidRPr="008733AC">
        <w:rPr>
          <w:color w:val="404040"/>
        </w:rPr>
        <w:t>Marktdeelnemers en handelaren stroomafwaarts in de toeleveringsketen die dergelijke informatie ontvangen, kunnen hun eigen zorgvuldigheid baseren op de ontvangen informatie, maar het feit dat een andere marktdeelnemer of handelaar stroomopwaarts in de waardeketen zorgvuldigheid heeft betracht, doet niets af aan hun eigen verplichtingen.</w:t>
      </w:r>
    </w:p>
    <w:p w14:paraId="61E4C3A0" w14:textId="67D52048" w:rsidR="002B78A6" w:rsidRPr="008733AC" w:rsidRDefault="00000000" w:rsidP="00D10AAB">
      <w:pPr>
        <w:pStyle w:val="Plattetekst"/>
        <w:spacing w:before="239"/>
        <w:ind w:right="163"/>
      </w:pPr>
      <w:r w:rsidRPr="008733AC">
        <w:rPr>
          <w:color w:val="404040"/>
        </w:rPr>
        <w:t>Marktdeelnemers en handelaren die geen kmo's zijn, moeten ervoor zorgen dat de informatie over traceerbaarheid die zij aan de handhavingsautoriteiten in de lidstaten verstrekken door middel van de zorgvuldigheidsverklaring ingediend via het informatiesysteem, correct is.</w:t>
      </w:r>
    </w:p>
    <w:p w14:paraId="2031C93D" w14:textId="77777777" w:rsidR="002B78A6" w:rsidRPr="008733AC" w:rsidRDefault="00000000">
      <w:pPr>
        <w:ind w:left="100" w:right="158"/>
        <w:jc w:val="both"/>
        <w:rPr>
          <w:b/>
          <w:sz w:val="24"/>
        </w:rPr>
      </w:pPr>
      <w:r w:rsidRPr="008733AC">
        <w:rPr>
          <w:color w:val="404040"/>
          <w:sz w:val="24"/>
        </w:rPr>
        <w:t xml:space="preserve">De ontwikkeling en werking van het informatiesysteem zal in overeenstemming zijn met de relevante bepalingen inzake gegevensbescherming. Bovendien </w:t>
      </w:r>
      <w:r w:rsidRPr="008733AC">
        <w:rPr>
          <w:b/>
          <w:color w:val="404040"/>
          <w:sz w:val="24"/>
        </w:rPr>
        <w:t>wordt het systeem uitgerust met beveiligingsmaatregelen die de integriteit en vertrouwelijkheid van de gedeelde informatie zullen garanderen.</w:t>
      </w:r>
    </w:p>
    <w:p w14:paraId="3101E328" w14:textId="77777777" w:rsidR="002B78A6" w:rsidRPr="008733AC" w:rsidRDefault="00000000">
      <w:pPr>
        <w:pStyle w:val="Kop3"/>
        <w:numPr>
          <w:ilvl w:val="0"/>
          <w:numId w:val="2"/>
        </w:numPr>
        <w:tabs>
          <w:tab w:val="left" w:pos="820"/>
        </w:tabs>
        <w:spacing w:before="239"/>
        <w:ind w:left="820" w:hanging="720"/>
      </w:pPr>
      <w:bookmarkStart w:id="21" w:name="_bookmark21"/>
      <w:bookmarkEnd w:id="21"/>
      <w:r w:rsidRPr="008733AC">
        <w:rPr>
          <w:color w:val="404040"/>
        </w:rPr>
        <w:t>Hoe zal traceerbaarheid werken voor producten uit meerdere landen?</w:t>
      </w:r>
    </w:p>
    <w:p w14:paraId="30743FA3" w14:textId="77777777" w:rsidR="002B78A6" w:rsidRPr="008733AC" w:rsidRDefault="00000000">
      <w:pPr>
        <w:spacing w:before="240"/>
        <w:ind w:left="100" w:right="161"/>
        <w:jc w:val="both"/>
        <w:rPr>
          <w:b/>
          <w:sz w:val="24"/>
        </w:rPr>
      </w:pPr>
      <w:r w:rsidRPr="008733AC">
        <w:rPr>
          <w:color w:val="404040"/>
          <w:sz w:val="24"/>
        </w:rPr>
        <w:t xml:space="preserve">Marktdeelnemers en handelaren die geen kmo's zijn, moeten ervoor zorgen dat de vereiste informatie over traceerbaarheid die zij aan de bevoegde autoriteiten in de lidstaten verstrekken, correct is, </w:t>
      </w:r>
      <w:r w:rsidRPr="008733AC">
        <w:rPr>
          <w:b/>
          <w:color w:val="404040"/>
          <w:sz w:val="24"/>
        </w:rPr>
        <w:t>ongeacht de lengte of de complexiteit van hun toeleveringsketens.</w:t>
      </w:r>
    </w:p>
    <w:p w14:paraId="76BA1C57" w14:textId="77777777" w:rsidR="002B78A6" w:rsidRPr="008733AC" w:rsidRDefault="00000000">
      <w:pPr>
        <w:pStyle w:val="Plattetekst"/>
        <w:spacing w:before="242"/>
        <w:ind w:right="156"/>
      </w:pPr>
      <w:r w:rsidRPr="008733AC">
        <w:rPr>
          <w:color w:val="404040"/>
        </w:rPr>
        <w:t>Traceerbaarheidsinformatie kan via toeleveringsketens worden samengevoegd. Een grote bulkzending soja die afkomstig is van honderden percelen uit verschillende landen moet bijvoorbeeld gepaard gaan met een zorgvuldigheidsverklaring waarin alle relevante productielanden zijn opgenomen, evenals informatie over de geolocatie van elk afzonderlijk perceel uit al deze landen dat heeft bijgedragen aan de zending.</w:t>
      </w:r>
    </w:p>
    <w:p w14:paraId="5CDE246C" w14:textId="77777777" w:rsidR="002B78A6" w:rsidRPr="008733AC" w:rsidRDefault="00000000">
      <w:pPr>
        <w:pStyle w:val="Kop3"/>
        <w:numPr>
          <w:ilvl w:val="0"/>
          <w:numId w:val="2"/>
        </w:numPr>
        <w:tabs>
          <w:tab w:val="left" w:pos="820"/>
        </w:tabs>
        <w:ind w:left="820" w:hanging="720"/>
      </w:pPr>
      <w:bookmarkStart w:id="22" w:name="_bookmark22"/>
      <w:bookmarkEnd w:id="22"/>
      <w:r w:rsidRPr="008733AC">
        <w:rPr>
          <w:color w:val="404040"/>
        </w:rPr>
        <w:t>Wat is de 'productiedatum of -tijdspanne'?</w:t>
      </w:r>
    </w:p>
    <w:p w14:paraId="512835F3" w14:textId="77777777" w:rsidR="002B78A6" w:rsidRPr="008733AC" w:rsidRDefault="00000000">
      <w:pPr>
        <w:pStyle w:val="Plattetekst"/>
        <w:spacing w:before="239"/>
        <w:ind w:right="154"/>
      </w:pPr>
      <w:r w:rsidRPr="008733AC">
        <w:rPr>
          <w:color w:val="404040"/>
        </w:rPr>
        <w:t xml:space="preserve">Marktdeelnemers (en niet-kmo-handelaren) moeten informatie verzamelen over de </w:t>
      </w:r>
      <w:r w:rsidRPr="008733AC">
        <w:rPr>
          <w:color w:val="404040"/>
        </w:rPr>
        <w:lastRenderedPageBreak/>
        <w:t>productiedatum of het -tijdspanne op grond van de verplichtingen in artikel 9 van de Verordening. Deze informatie is nodig om vast te stellen of het betreffende product ontbossingsvrij is. Daarom is ze van toepassing op de onder de Verordening vallende grondstoffen die in de handel worden gebracht of op de grondstoffen die worden gebruikt voor de productie van relevante producten die onder de Verordening vallen.</w:t>
      </w:r>
    </w:p>
    <w:p w14:paraId="0EAA88A4" w14:textId="77777777" w:rsidR="002B78A6" w:rsidRPr="008733AC" w:rsidRDefault="00000000">
      <w:pPr>
        <w:spacing w:before="242"/>
        <w:ind w:left="100" w:right="155"/>
        <w:jc w:val="both"/>
        <w:rPr>
          <w:sz w:val="24"/>
        </w:rPr>
      </w:pPr>
      <w:r w:rsidRPr="008733AC">
        <w:rPr>
          <w:color w:val="404040"/>
          <w:sz w:val="24"/>
        </w:rPr>
        <w:t xml:space="preserve">Voor andere goederen dan runderen verwijst de productiedatum naar </w:t>
      </w:r>
      <w:r w:rsidRPr="008733AC">
        <w:rPr>
          <w:b/>
          <w:color w:val="404040"/>
          <w:sz w:val="24"/>
        </w:rPr>
        <w:t>de datum waarop de grondstoffen zijn geoogst</w:t>
      </w:r>
      <w:r w:rsidRPr="008733AC">
        <w:rPr>
          <w:color w:val="404040"/>
          <w:sz w:val="24"/>
        </w:rPr>
        <w:t xml:space="preserve"> en de </w:t>
      </w:r>
      <w:r w:rsidRPr="008733AC">
        <w:rPr>
          <w:b/>
          <w:color w:val="404040"/>
          <w:sz w:val="24"/>
        </w:rPr>
        <w:t xml:space="preserve">productietijdspanne naar de periode/duur van het productieproces </w:t>
      </w:r>
      <w:r w:rsidRPr="008733AC">
        <w:rPr>
          <w:color w:val="404040"/>
          <w:sz w:val="24"/>
        </w:rPr>
        <w:t>(bijv. in het geval van hout verwijst 'productietijdspanne' naar de duur van de relevante kapactiviteiten).</w:t>
      </w:r>
    </w:p>
    <w:p w14:paraId="3F48BB7E" w14:textId="77777777" w:rsidR="002B78A6" w:rsidRPr="008733AC" w:rsidRDefault="00000000">
      <w:pPr>
        <w:pStyle w:val="Plattetekst"/>
        <w:ind w:right="164"/>
      </w:pPr>
      <w:r w:rsidRPr="008733AC">
        <w:rPr>
          <w:color w:val="404040"/>
        </w:rPr>
        <w:t>Voor andere relevante producten dan levende dieren onder de categorie runderen heeft de productietijdspanne betrekking op de levensduur van het dier, inclusief de slachtdatum.</w:t>
      </w:r>
    </w:p>
    <w:p w14:paraId="644DA84A" w14:textId="77777777" w:rsidR="002B78A6" w:rsidRPr="008733AC" w:rsidRDefault="00000000">
      <w:pPr>
        <w:pStyle w:val="Plattetekst"/>
        <w:spacing w:before="239"/>
        <w:ind w:right="157"/>
        <w:rPr>
          <w:color w:val="404040"/>
        </w:rPr>
      </w:pPr>
      <w:r w:rsidRPr="008733AC">
        <mc:AlternateContent>
          <mc:Choice Requires="wps">
            <w:drawing>
              <wp:anchor distT="0" distB="0" distL="0" distR="0" simplePos="0" relativeHeight="15728640" behindDoc="0" locked="0" layoutInCell="1" allowOverlap="1" wp14:anchorId="7CCABD20" wp14:editId="08C664C2">
                <wp:simplePos x="0" y="0"/>
                <wp:positionH relativeFrom="page">
                  <wp:posOffset>6363970</wp:posOffset>
                </wp:positionH>
                <wp:positionV relativeFrom="paragraph">
                  <wp:posOffset>499919</wp:posOffset>
                </wp:positionV>
                <wp:extent cx="38100" cy="1079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0795"/>
                        </a:xfrm>
                        <a:custGeom>
                          <a:avLst/>
                          <a:gdLst/>
                          <a:ahLst/>
                          <a:cxnLst/>
                          <a:rect l="l" t="t" r="r" b="b"/>
                          <a:pathLst>
                            <a:path w="38100" h="10795">
                              <a:moveTo>
                                <a:pt x="38100" y="0"/>
                              </a:moveTo>
                              <a:lnTo>
                                <a:pt x="0" y="0"/>
                              </a:lnTo>
                              <a:lnTo>
                                <a:pt x="0" y="10668"/>
                              </a:lnTo>
                              <a:lnTo>
                                <a:pt x="38100" y="10668"/>
                              </a:lnTo>
                              <a:lnTo>
                                <a:pt x="38100" y="0"/>
                              </a:lnTo>
                              <a:close/>
                            </a:path>
                          </a:pathLst>
                        </a:custGeom>
                        <a:solidFill>
                          <a:srgbClr val="404040"/>
                        </a:solidFill>
                      </wps:spPr>
                      <wps:bodyPr wrap="square" lIns="0" tIns="0" rIns="0" bIns="0" rtlCol="0">
                        <a:prstTxWarp prst="textNoShape">
                          <a:avLst/>
                        </a:prstTxWarp>
                        <a:noAutofit/>
                      </wps:bodyPr>
                    </wps:wsp>
                  </a:graphicData>
                </a:graphic>
              </wp:anchor>
            </w:drawing>
          </mc:Choice>
          <mc:Fallback>
            <w:pict>
              <v:shape w14:anchorId="572AC42B" id="Graphic 2" o:spid="_x0000_s1026" style="position:absolute;margin-left:501.1pt;margin-top:39.35pt;width:3pt;height:.85pt;z-index:15728640;visibility:visible;mso-wrap-style:square;mso-wrap-distance-left:0;mso-wrap-distance-top:0;mso-wrap-distance-right:0;mso-wrap-distance-bottom:0;mso-position-horizontal:absolute;mso-position-horizontal-relative:page;mso-position-vertical:absolute;mso-position-vertical-relative:text;v-text-anchor:top" coordsize="381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" path="m38100,l,,,10668r38100,l38100,xe" fillcolor="#404040" stroked="f">
                <v:path arrowok="t"/>
                <w10:wrap anchorx="page"/>
              </v:shape>
            </w:pict>
          </mc:Fallback>
        </mc:AlternateContent>
      </w:r>
      <w:r w:rsidRPr="008733AC">
        <w:rPr>
          <w:color w:val="404040"/>
        </w:rPr>
        <w:t>NB: informatie over de productiedatum of -tijdspanne van een product dat marktdeelnemers in de handel willen brengen of willen uitvoeren, hoeft niet te worden opgenomen in de zorgvuldigheidsverklaring, maar marktdeelnemers moeten deze informatie wel verzamelen, ordenen en gedurende vijf jaar bewaren (art. 9).</w:t>
      </w:r>
    </w:p>
    <w:p w14:paraId="2D822082" w14:textId="77777777" w:rsidR="00D10AAB" w:rsidRPr="008733AC" w:rsidRDefault="00D10AAB" w:rsidP="00CE6172">
      <w:pPr>
        <w:pStyle w:val="Plattetekst"/>
        <w:spacing w:before="0"/>
        <w:ind w:right="157"/>
      </w:pPr>
    </w:p>
    <w:p w14:paraId="123DFEB8" w14:textId="77777777" w:rsidR="002B78A6" w:rsidRPr="008733AC" w:rsidRDefault="00000000">
      <w:pPr>
        <w:pStyle w:val="Kop3"/>
        <w:numPr>
          <w:ilvl w:val="0"/>
          <w:numId w:val="2"/>
        </w:numPr>
        <w:tabs>
          <w:tab w:val="left" w:pos="820"/>
        </w:tabs>
        <w:ind w:left="820" w:hanging="720"/>
      </w:pPr>
      <w:bookmarkStart w:id="23" w:name="_bookmark23"/>
      <w:bookmarkEnd w:id="23"/>
      <w:r w:rsidRPr="008733AC">
        <w:rPr>
          <w:color w:val="404040"/>
        </w:rPr>
        <w:t>Hoe werkt de traceerbaarheid voor runderen?</w:t>
      </w:r>
    </w:p>
    <w:p w14:paraId="6F619888" w14:textId="77777777" w:rsidR="002B78A6" w:rsidRPr="008733AC" w:rsidRDefault="00000000">
      <w:pPr>
        <w:pStyle w:val="Plattetekst"/>
        <w:spacing w:line="259" w:lineRule="auto"/>
        <w:ind w:right="159"/>
      </w:pPr>
      <w:r w:rsidRPr="008733AC">
        <w:t>Zou het voldoende zijn om de geolocatie te geven van het land waar het kalf geboren is? Sommige runderen kunnen naar een of meer locaties worden verplaatst voordat ze worden geslacht.</w:t>
      </w:r>
    </w:p>
    <w:p w14:paraId="025238B3" w14:textId="260BF81B" w:rsidR="00933051" w:rsidRPr="008733AC" w:rsidRDefault="00000000" w:rsidP="00933051">
      <w:pPr>
        <w:pStyle w:val="Plattetekst"/>
        <w:spacing w:before="159"/>
        <w:ind w:right="158"/>
        <w:rPr>
          <w:color w:val="404040"/>
        </w:rPr>
      </w:pPr>
      <w:r w:rsidRPr="008733AC">
        <w:rPr>
          <w:color w:val="404040"/>
        </w:rPr>
        <w:t>Marktdeelnemers (of niet-kmo-handelaren) die rundveeproducten in de handel brengen, moeten alle etablissementen waar de runderen zijn gehouden, geolokaliseren, met inbegrip van de geboorteplaats, boerderijen waar ze werden gevoederd, weidegronden en slachthuizen.</w:t>
      </w:r>
      <w:bookmarkStart w:id="24" w:name="_bookmark24"/>
      <w:bookmarkEnd w:id="24"/>
    </w:p>
    <w:p w14:paraId="2D8E5475" w14:textId="77777777" w:rsidR="00933051" w:rsidRPr="008733AC" w:rsidRDefault="00933051" w:rsidP="00933051">
      <w:pPr>
        <w:pStyle w:val="Plattetekst"/>
        <w:spacing w:before="0"/>
        <w:ind w:right="158"/>
        <w:rPr>
          <w:color w:val="404040"/>
        </w:rPr>
      </w:pPr>
    </w:p>
    <w:p w14:paraId="51E4FA1F" w14:textId="77777777" w:rsidR="002B78A6" w:rsidRPr="008733AC" w:rsidRDefault="00000000">
      <w:pPr>
        <w:pStyle w:val="Kop3"/>
        <w:numPr>
          <w:ilvl w:val="0"/>
          <w:numId w:val="2"/>
        </w:numPr>
        <w:tabs>
          <w:tab w:val="left" w:pos="820"/>
        </w:tabs>
        <w:spacing w:before="41"/>
        <w:ind w:left="820" w:hanging="720"/>
      </w:pPr>
      <w:r w:rsidRPr="008733AC">
        <w:rPr>
          <w:color w:val="404040"/>
        </w:rPr>
        <w:t>Wat als toeleveranciers de vereiste informatie niet verstrekken?</w:t>
      </w:r>
    </w:p>
    <w:p w14:paraId="585C66AE" w14:textId="77777777" w:rsidR="002B78A6" w:rsidRPr="008733AC" w:rsidRDefault="00000000">
      <w:pPr>
        <w:pStyle w:val="Plattetekst"/>
        <w:ind w:right="154"/>
      </w:pPr>
      <w:r w:rsidRPr="008733AC">
        <w:rPr>
          <w:color w:val="404040"/>
        </w:rPr>
        <w:t>Als een marktdeelnemer (of niet-kmo-handelaar) die een basisproduct in de handel brengt, de door de Verordening vereiste informatie niet van stroomopwaartse leveranciers kan verkrijgen, moet hij ervan afzien de desbetreffende producten in de handel te brengen of uit te voeren, aangezien dit een inbreuk op de Verordening zou inhouden, wat tot mogelijke sancties kan leiden.</w:t>
      </w:r>
    </w:p>
    <w:p w14:paraId="6BDBFEDE" w14:textId="77777777" w:rsidR="002B78A6" w:rsidRPr="008733AC" w:rsidRDefault="00000000">
      <w:pPr>
        <w:pStyle w:val="Kop3"/>
        <w:numPr>
          <w:ilvl w:val="0"/>
          <w:numId w:val="2"/>
        </w:numPr>
        <w:tabs>
          <w:tab w:val="left" w:pos="820"/>
        </w:tabs>
        <w:spacing w:before="239"/>
        <w:ind w:left="820" w:hanging="720"/>
      </w:pPr>
      <w:bookmarkStart w:id="25" w:name="_bookmark25"/>
      <w:bookmarkEnd w:id="25"/>
      <w:r w:rsidRPr="008733AC">
        <w:rPr>
          <w:color w:val="404040"/>
        </w:rPr>
        <w:t>Moeten er coördinaten worden meegedeeld voor percelen in landen met een laag risico?</w:t>
      </w:r>
    </w:p>
    <w:p w14:paraId="71CD8CCC" w14:textId="77777777" w:rsidR="002B78A6" w:rsidRPr="008733AC" w:rsidRDefault="00000000">
      <w:pPr>
        <w:pStyle w:val="Plattetekst"/>
        <w:ind w:right="154"/>
      </w:pPr>
      <w:r w:rsidRPr="008733AC">
        <w:rPr>
          <w:color w:val="404040"/>
        </w:rPr>
        <w:t xml:space="preserve">Er is </w:t>
      </w:r>
      <w:r w:rsidRPr="008733AC">
        <w:rPr>
          <w:b/>
          <w:color w:val="404040"/>
        </w:rPr>
        <w:t>geen uitzondering</w:t>
      </w:r>
      <w:r w:rsidRPr="008733AC">
        <w:rPr>
          <w:color w:val="404040"/>
        </w:rPr>
        <w:t xml:space="preserve"> voor de vereiste van traceerbaarheid via geolocatie. De marktdeelnemers moeten ook de complexiteit van de desbetreffende toeleveringsketen en het risico op omzeiling van deze verordening of het risico op vermenging met producten van onbekende oorsprong of die hun oorsprong hebben in een land, of delen daarvan, met een hoog of standaardrisico, hebben beoordeeld (art. 13). Indien de marktdeelnemer relevante informatie verkrijgt of op de hoogte wordt gebracht dat het risico bestaat dat de relevante producten niet aan de Verordening voldoen of dat de Verordening is omzeild, moet de marktdeelnemer voldoen aan alle verplichtingen uit hoofde van de artikelen 10 en 11 en </w:t>
      </w:r>
      <w:r w:rsidRPr="008733AC">
        <w:rPr>
          <w:color w:val="404040"/>
        </w:rPr>
        <w:lastRenderedPageBreak/>
        <w:t>deelt hij alle relevante informatie onmiddellijk mee aan de bevoegde autoriteit.</w:t>
      </w:r>
    </w:p>
    <w:p w14:paraId="759F5B94" w14:textId="77777777" w:rsidR="002B78A6" w:rsidRPr="008733AC" w:rsidRDefault="00000000">
      <w:pPr>
        <w:pStyle w:val="Kop3"/>
        <w:numPr>
          <w:ilvl w:val="0"/>
          <w:numId w:val="2"/>
        </w:numPr>
        <w:tabs>
          <w:tab w:val="left" w:pos="820"/>
        </w:tabs>
        <w:spacing w:before="242"/>
        <w:ind w:left="820" w:hanging="720"/>
      </w:pPr>
      <w:bookmarkStart w:id="26" w:name="_bookmark26"/>
      <w:bookmarkEnd w:id="26"/>
      <w:r w:rsidRPr="008733AC">
        <w:rPr>
          <w:color w:val="404040"/>
        </w:rPr>
        <w:t>Is de wettigheidsvereiste van toepassing op ontbossingsvrij land?</w:t>
      </w:r>
    </w:p>
    <w:p w14:paraId="7D892523" w14:textId="77777777" w:rsidR="002B78A6" w:rsidRPr="008733AC" w:rsidRDefault="00000000">
      <w:pPr>
        <w:pStyle w:val="Plattetekst"/>
        <w:ind w:right="164"/>
      </w:pPr>
      <w:r w:rsidRPr="008733AC">
        <w:rPr>
          <w:color w:val="404040"/>
        </w:rPr>
        <w:t>Relevante grondstoffen en relevante producten kunnen niet in de handel worden gebracht of worden uitgevoerd tenzij ze zijn geproduceerd in overeenstemming met de relevante wetgeving van het land van productie, zoals vereist in artikel 3(b).</w:t>
      </w:r>
    </w:p>
    <w:p w14:paraId="1162B0F8" w14:textId="77777777" w:rsidR="002B78A6" w:rsidRPr="008733AC" w:rsidRDefault="00000000">
      <w:pPr>
        <w:spacing w:before="239"/>
        <w:ind w:left="100" w:right="157"/>
        <w:jc w:val="both"/>
        <w:rPr>
          <w:sz w:val="24"/>
        </w:rPr>
      </w:pPr>
      <w:r w:rsidRPr="008733AC">
        <w:rPr>
          <w:color w:val="404040"/>
          <w:sz w:val="24"/>
        </w:rPr>
        <w:t xml:space="preserve">De verplichtingen van artikel 3 zijn cumulatief: </w:t>
      </w:r>
      <w:r w:rsidRPr="008733AC">
        <w:rPr>
          <w:b/>
          <w:color w:val="404040"/>
          <w:sz w:val="24"/>
        </w:rPr>
        <w:t xml:space="preserve">aan de wettigheidsvereiste (art. 3(b)) moet worden voldaan bovenop de vereiste om 'ontbossingsvrij' te zijn </w:t>
      </w:r>
      <w:r w:rsidRPr="008733AC">
        <w:rPr>
          <w:color w:val="404040"/>
          <w:sz w:val="24"/>
        </w:rPr>
        <w:t>(art. 3(a)) en de vereiste dat de grondstoffen of producten vergezeld gaan van een zorgvuldigheidsverklaring (art. 3(c)).</w:t>
      </w:r>
    </w:p>
    <w:p w14:paraId="122BDA4F" w14:textId="77777777" w:rsidR="002B78A6" w:rsidRPr="008733AC" w:rsidRDefault="00000000">
      <w:pPr>
        <w:pStyle w:val="Kop3"/>
        <w:numPr>
          <w:ilvl w:val="0"/>
          <w:numId w:val="2"/>
        </w:numPr>
        <w:tabs>
          <w:tab w:val="left" w:pos="820"/>
        </w:tabs>
        <w:ind w:left="820" w:hanging="720"/>
      </w:pPr>
      <w:bookmarkStart w:id="27" w:name="_bookmark27"/>
      <w:bookmarkEnd w:id="27"/>
      <w:r w:rsidRPr="008733AC">
        <w:rPr>
          <w:color w:val="404040"/>
        </w:rPr>
        <w:t>Zijn er verplichtingen voor niet-EU-landen?</w:t>
      </w:r>
    </w:p>
    <w:p w14:paraId="3762D5BA" w14:textId="77777777" w:rsidR="002B78A6" w:rsidRPr="008733AC" w:rsidRDefault="00000000">
      <w:pPr>
        <w:spacing w:before="242"/>
        <w:ind w:left="100" w:right="158"/>
        <w:jc w:val="both"/>
        <w:rPr>
          <w:sz w:val="24"/>
        </w:rPr>
      </w:pPr>
      <w:r w:rsidRPr="008733AC">
        <w:rPr>
          <w:b/>
          <w:color w:val="404040"/>
          <w:sz w:val="24"/>
        </w:rPr>
        <w:t>Er gelden geen wettelijke verplichtingen voor niet-EU-landen</w:t>
      </w:r>
      <w:r w:rsidRPr="008733AC">
        <w:rPr>
          <w:color w:val="404040"/>
          <w:sz w:val="24"/>
        </w:rPr>
        <w:t>. Deze Verordening bevat verplichtingen voor marktdeelnemers en handelaren (zie hoofdstuk 2 van de Verordening) en voor de EU-lidstaten en hun bevoegde autoriteiten (zie hoofdstuk 3 van de Verordening).</w:t>
      </w:r>
    </w:p>
    <w:p w14:paraId="3D68F8EC" w14:textId="77777777" w:rsidR="00D10AAB" w:rsidRPr="008733AC" w:rsidRDefault="00000000" w:rsidP="00D10AAB">
      <w:pPr>
        <w:pStyle w:val="Plattetekst"/>
        <w:ind w:right="154"/>
        <w:rPr>
          <w:color w:val="404040"/>
        </w:rPr>
      </w:pPr>
      <w:r w:rsidRPr="008733AC">
        <w:rPr>
          <w:color w:val="404040"/>
        </w:rPr>
        <w:t>Veel landen over de hele wereld hebben echter maatregelen ingevoerd om ontbossingsvrije toeleveringsketens te verbeteren, publieke traceerbaarheidssystemen voor relevante grondstoffen te versterken enz. aan de hand waarvan ze de taken van bedrijven krachtens deze Verordening vereenvoudigen. Dit is een goede zaak, aangezien dergelijke ontwikkelingen marktdeelnemers en handelaren enorm kunnen helpen om aan hun verplichtingen te voldoen.</w:t>
      </w:r>
    </w:p>
    <w:p w14:paraId="5F60ED4F" w14:textId="700CFD94" w:rsidR="002B78A6" w:rsidRPr="008733AC" w:rsidRDefault="00000000" w:rsidP="00D10AAB">
      <w:pPr>
        <w:pStyle w:val="Plattetekst"/>
        <w:ind w:right="154"/>
        <w:jc w:val="center"/>
        <w:rPr>
          <w:b/>
        </w:rPr>
      </w:pPr>
      <w:r w:rsidRPr="008733AC">
        <w:rPr>
          <w:b/>
        </w:rPr>
        <w:t>°°0°°</w:t>
      </w:r>
    </w:p>
    <w:p w14:paraId="08919B92" w14:textId="77777777" w:rsidR="002B78A6" w:rsidRPr="008733AC" w:rsidRDefault="002B78A6">
      <w:pPr>
        <w:rPr>
          <w:sz w:val="24"/>
        </w:rPr>
      </w:pPr>
    </w:p>
    <w:p w14:paraId="2993A400" w14:textId="77777777" w:rsidR="00D10AAB" w:rsidRPr="008733AC" w:rsidRDefault="00D10AAB" w:rsidP="00D10AAB">
      <w:pPr>
        <w:pStyle w:val="Kop1"/>
        <w:ind w:right="-1905"/>
      </w:pPr>
      <w:r w:rsidRPr="008733AC">
        <w:rPr>
          <w:color w:val="404040"/>
        </w:rPr>
        <w:t>Toepassingsgebied</w:t>
      </w:r>
    </w:p>
    <w:p w14:paraId="644C2DC8" w14:textId="77777777" w:rsidR="002B78A6" w:rsidRPr="008733AC" w:rsidRDefault="00000000">
      <w:pPr>
        <w:pStyle w:val="Kop3"/>
        <w:numPr>
          <w:ilvl w:val="0"/>
          <w:numId w:val="2"/>
        </w:numPr>
        <w:tabs>
          <w:tab w:val="left" w:pos="820"/>
        </w:tabs>
        <w:ind w:left="820" w:hanging="720"/>
      </w:pPr>
      <w:bookmarkStart w:id="28" w:name="_bookmark29"/>
      <w:bookmarkEnd w:id="28"/>
      <w:r w:rsidRPr="008733AC">
        <w:rPr>
          <w:color w:val="404040"/>
        </w:rPr>
        <w:t>Op welke producten heeft de Verordening betrekking?</w:t>
      </w:r>
    </w:p>
    <w:p w14:paraId="34C158BD" w14:textId="77777777" w:rsidR="002B78A6" w:rsidRPr="008733AC" w:rsidRDefault="00000000" w:rsidP="00D10AAB">
      <w:pPr>
        <w:pStyle w:val="Plattetekst"/>
        <w:ind w:right="158"/>
        <w:rPr>
          <w:color w:val="404040"/>
        </w:rPr>
      </w:pPr>
      <w:r w:rsidRPr="008733AC">
        <w:rPr>
          <w:color w:val="404040"/>
        </w:rPr>
        <w:t>De Verordening is alleen van toepassing op de producten die zijn vermeld in bijlage I. Producten die niet zijn opgenomen in bijlage I zijn niet onderworpen aan de vereisten van de Verordening, zelfs als ze relevante grondstoffen bevatten die binnen het toepassingsgebied van de Verordening vallen. Zo valt zeep bijvoorbeeld niet onder de Verordening, ook al bevat ze palmolie.</w:t>
      </w:r>
    </w:p>
    <w:p w14:paraId="21611E0C" w14:textId="77777777" w:rsidR="002B78A6" w:rsidRPr="008733AC" w:rsidRDefault="00000000" w:rsidP="00D10AAB">
      <w:pPr>
        <w:pStyle w:val="Plattetekst"/>
        <w:spacing w:before="41"/>
        <w:ind w:left="142" w:right="156"/>
      </w:pPr>
      <w:r w:rsidRPr="008733AC">
        <w:rPr>
          <w:color w:val="404040"/>
        </w:rPr>
        <w:t>Evenzo zijn producten met een GS-code die niet in bijlage I is opgenomen, maar die componenten of elementen kunnen bevatten die zijn afgeleid van grondstoffen die onder de Verordening vallen – zoals auto's met lederen zetels of banden van natuurlijk rubber – niet onderworpen aan de vereisten van de Verordening.</w:t>
      </w:r>
    </w:p>
    <w:p w14:paraId="25CA671C" w14:textId="77777777" w:rsidR="002B78A6" w:rsidRPr="008733AC" w:rsidRDefault="00000000">
      <w:pPr>
        <w:pStyle w:val="Plattetekst"/>
        <w:ind w:right="157"/>
      </w:pPr>
      <w:r w:rsidRPr="008733AC">
        <w:rPr>
          <w:color w:val="404040"/>
        </w:rPr>
        <w:t xml:space="preserve">NB: De Verordening bepaalt dat de lijst van relevante producten en productbeschrijvingen door de Commissie kan worden gewijzigd door middel van een gedelegeerde handeling. Daarnaast zal de Commissie beoordelen of het nodig en haalbaar is om bij het Europees Parlement en de Raad een wetgevingsvoorstel in te dienen om het toepassingsgebied van de Verordening uit te breiden tot andere grondstoffen, op basis van een effectbeoordeling van de relevante Grondstoffen op ontbossing en bosdegradatie. De eerste herziening van het toepassingsgebied qua grondstoffen moet binnen twee jaar na de inwerkingtreding van </w:t>
      </w:r>
      <w:r w:rsidRPr="008733AC">
        <w:rPr>
          <w:color w:val="404040"/>
        </w:rPr>
        <w:lastRenderedPageBreak/>
        <w:t>de Verordening plaatsvinden.</w:t>
      </w:r>
    </w:p>
    <w:p w14:paraId="60E27237" w14:textId="77777777" w:rsidR="002B78A6" w:rsidRPr="008733AC" w:rsidRDefault="00000000">
      <w:pPr>
        <w:pStyle w:val="Kop3"/>
        <w:numPr>
          <w:ilvl w:val="0"/>
          <w:numId w:val="2"/>
        </w:numPr>
        <w:tabs>
          <w:tab w:val="left" w:pos="820"/>
        </w:tabs>
        <w:spacing w:before="241"/>
        <w:ind w:left="820" w:hanging="720"/>
      </w:pPr>
      <w:bookmarkStart w:id="29" w:name="_bookmark30"/>
      <w:bookmarkEnd w:id="29"/>
      <w:r w:rsidRPr="008733AC">
        <w:rPr>
          <w:color w:val="404040"/>
        </w:rPr>
        <w:t>Wat met in de Verordening vermelde producten die de vermelde grondstoffen niet bevatten?</w:t>
      </w:r>
    </w:p>
    <w:p w14:paraId="6A448809" w14:textId="77777777" w:rsidR="002B78A6" w:rsidRPr="008733AC" w:rsidRDefault="002B78A6">
      <w:pPr>
        <w:pStyle w:val="Plattetekst"/>
        <w:spacing w:before="9"/>
        <w:ind w:left="0"/>
        <w:jc w:val="left"/>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2977"/>
        <w:gridCol w:w="2977"/>
      </w:tblGrid>
      <w:tr w:rsidR="002B78A6" w:rsidRPr="008733AC" w14:paraId="6BE39CC4" w14:textId="77777777">
        <w:trPr>
          <w:trHeight w:val="839"/>
        </w:trPr>
        <w:tc>
          <w:tcPr>
            <w:tcW w:w="3121" w:type="dxa"/>
            <w:shd w:val="clear" w:color="auto" w:fill="F1F5F8"/>
          </w:tcPr>
          <w:p w14:paraId="6223BC3A" w14:textId="77777777" w:rsidR="002B78A6" w:rsidRPr="008733AC" w:rsidRDefault="002B78A6">
            <w:pPr>
              <w:pStyle w:val="TableParagraph"/>
              <w:ind w:left="0"/>
              <w:rPr>
                <w:rFonts w:ascii="Times New Roman" w:hAnsi="Times New Roman"/>
                <w:sz w:val="24"/>
              </w:rPr>
            </w:pPr>
          </w:p>
        </w:tc>
        <w:tc>
          <w:tcPr>
            <w:tcW w:w="2977" w:type="dxa"/>
            <w:tcBorders>
              <w:bottom w:val="single" w:sz="12" w:space="0" w:color="F1F5F8"/>
            </w:tcBorders>
            <w:shd w:val="clear" w:color="auto" w:fill="F1F5F8"/>
          </w:tcPr>
          <w:p w14:paraId="0FF8D9AF" w14:textId="77777777" w:rsidR="002B78A6" w:rsidRPr="008733AC" w:rsidRDefault="00000000">
            <w:pPr>
              <w:pStyle w:val="TableParagraph"/>
              <w:spacing w:before="13"/>
              <w:ind w:right="241"/>
              <w:rPr>
                <w:b/>
                <w:sz w:val="24"/>
              </w:rPr>
            </w:pPr>
            <w:r w:rsidRPr="008733AC">
              <w:rPr>
                <w:b/>
                <w:color w:val="404040"/>
                <w:sz w:val="24"/>
              </w:rPr>
              <w:t>… vervaardigd van een in bijlage I vermelde grondstof</w:t>
            </w:r>
          </w:p>
        </w:tc>
        <w:tc>
          <w:tcPr>
            <w:tcW w:w="2977" w:type="dxa"/>
            <w:tcBorders>
              <w:bottom w:val="single" w:sz="12" w:space="0" w:color="F1F5F8"/>
            </w:tcBorders>
            <w:shd w:val="clear" w:color="auto" w:fill="F1F5F8"/>
          </w:tcPr>
          <w:p w14:paraId="58C3D588" w14:textId="77777777" w:rsidR="002B78A6" w:rsidRPr="008733AC" w:rsidRDefault="00000000">
            <w:pPr>
              <w:pStyle w:val="TableParagraph"/>
              <w:spacing w:before="13"/>
              <w:ind w:left="-4" w:right="241"/>
              <w:rPr>
                <w:b/>
                <w:sz w:val="24"/>
              </w:rPr>
            </w:pPr>
            <w:r w:rsidRPr="008733AC">
              <w:rPr>
                <w:b/>
                <w:color w:val="404040"/>
                <w:sz w:val="24"/>
              </w:rPr>
              <w:t xml:space="preserve">… </w:t>
            </w:r>
            <w:r w:rsidRPr="008733AC">
              <w:rPr>
                <w:b/>
                <w:color w:val="404040"/>
                <w:sz w:val="24"/>
                <w:u w:val="single" w:color="404040"/>
              </w:rPr>
              <w:t>niet</w:t>
            </w:r>
            <w:r w:rsidRPr="008733AC">
              <w:rPr>
                <w:b/>
                <w:color w:val="404040"/>
                <w:sz w:val="24"/>
              </w:rPr>
              <w:t xml:space="preserve"> vervaardigd van een in bijlage I vermelde grondstof</w:t>
            </w:r>
          </w:p>
        </w:tc>
      </w:tr>
      <w:tr w:rsidR="002B78A6" w:rsidRPr="008733AC" w14:paraId="15BC03E1" w14:textId="77777777">
        <w:trPr>
          <w:trHeight w:val="851"/>
        </w:trPr>
        <w:tc>
          <w:tcPr>
            <w:tcW w:w="3121" w:type="dxa"/>
          </w:tcPr>
          <w:p w14:paraId="16020DA8" w14:textId="77777777" w:rsidR="002B78A6" w:rsidRPr="008733AC" w:rsidRDefault="00000000">
            <w:pPr>
              <w:pStyle w:val="TableParagraph"/>
              <w:spacing w:before="11"/>
              <w:ind w:left="14"/>
              <w:rPr>
                <w:b/>
                <w:sz w:val="24"/>
              </w:rPr>
            </w:pPr>
            <w:r w:rsidRPr="008733AC">
              <w:rPr>
                <w:b/>
                <w:color w:val="404040"/>
                <w:sz w:val="24"/>
              </w:rPr>
              <w:t>Relevante producten vermeld</w:t>
            </w:r>
          </w:p>
          <w:p w14:paraId="67D2A2A5" w14:textId="77777777" w:rsidR="002B78A6" w:rsidRPr="008733AC" w:rsidRDefault="00000000">
            <w:pPr>
              <w:pStyle w:val="TableParagraph"/>
              <w:ind w:left="14"/>
              <w:rPr>
                <w:b/>
                <w:sz w:val="24"/>
              </w:rPr>
            </w:pPr>
            <w:r w:rsidRPr="008733AC">
              <w:rPr>
                <w:b/>
                <w:color w:val="404040"/>
                <w:sz w:val="24"/>
              </w:rPr>
              <w:t>in bijlage I …</w:t>
            </w:r>
          </w:p>
        </w:tc>
        <w:tc>
          <w:tcPr>
            <w:tcW w:w="2977" w:type="dxa"/>
            <w:tcBorders>
              <w:top w:val="single" w:sz="12" w:space="0" w:color="F1F5F8"/>
            </w:tcBorders>
          </w:tcPr>
          <w:p w14:paraId="16B69220" w14:textId="77777777" w:rsidR="002B78A6" w:rsidRPr="008733AC" w:rsidRDefault="00000000">
            <w:pPr>
              <w:pStyle w:val="TableParagraph"/>
              <w:spacing w:before="157"/>
              <w:rPr>
                <w:sz w:val="24"/>
              </w:rPr>
            </w:pPr>
            <w:r w:rsidRPr="008733AC">
              <w:rPr>
                <w:color w:val="404040"/>
                <w:sz w:val="24"/>
              </w:rPr>
              <w:t>Onderworpen aan de EUDR</w:t>
            </w:r>
          </w:p>
        </w:tc>
        <w:tc>
          <w:tcPr>
            <w:tcW w:w="2977" w:type="dxa"/>
            <w:tcBorders>
              <w:top w:val="single" w:sz="12" w:space="0" w:color="F1F5F8"/>
            </w:tcBorders>
          </w:tcPr>
          <w:p w14:paraId="7510849A" w14:textId="77777777" w:rsidR="002B78A6" w:rsidRPr="008733AC" w:rsidRDefault="00000000">
            <w:pPr>
              <w:pStyle w:val="TableParagraph"/>
              <w:spacing w:before="157"/>
              <w:rPr>
                <w:sz w:val="24"/>
              </w:rPr>
            </w:pPr>
            <w:r w:rsidRPr="008733AC">
              <w:rPr>
                <w:color w:val="404040"/>
                <w:sz w:val="24"/>
                <w:u w:val="single" w:color="404040"/>
              </w:rPr>
              <w:t>Niet</w:t>
            </w:r>
            <w:r w:rsidRPr="008733AC">
              <w:rPr>
                <w:color w:val="404040"/>
                <w:sz w:val="24"/>
              </w:rPr>
              <w:t xml:space="preserve"> onderworpen aan EUDR</w:t>
            </w:r>
          </w:p>
        </w:tc>
      </w:tr>
      <w:tr w:rsidR="002B78A6" w:rsidRPr="008733AC" w14:paraId="30BF1121" w14:textId="77777777">
        <w:trPr>
          <w:trHeight w:val="856"/>
        </w:trPr>
        <w:tc>
          <w:tcPr>
            <w:tcW w:w="3121" w:type="dxa"/>
          </w:tcPr>
          <w:p w14:paraId="68ED92FF" w14:textId="77777777" w:rsidR="002B78A6" w:rsidRPr="008733AC" w:rsidRDefault="00000000">
            <w:pPr>
              <w:pStyle w:val="TableParagraph"/>
              <w:spacing w:before="16"/>
              <w:ind w:left="14"/>
              <w:rPr>
                <w:b/>
                <w:sz w:val="24"/>
              </w:rPr>
            </w:pPr>
            <w:r w:rsidRPr="008733AC">
              <w:rPr>
                <w:b/>
                <w:color w:val="404040"/>
                <w:sz w:val="24"/>
              </w:rPr>
              <w:t xml:space="preserve">Ander product </w:t>
            </w:r>
            <w:r w:rsidRPr="008733AC">
              <w:rPr>
                <w:b/>
                <w:color w:val="404040"/>
                <w:sz w:val="24"/>
                <w:u w:val="single" w:color="404040"/>
              </w:rPr>
              <w:t>niet vermeld</w:t>
            </w:r>
            <w:r w:rsidRPr="008733AC">
              <w:rPr>
                <w:b/>
                <w:color w:val="404040"/>
                <w:sz w:val="24"/>
              </w:rPr>
              <w:t xml:space="preserve"> </w:t>
            </w:r>
          </w:p>
          <w:p w14:paraId="7D2D2CAE" w14:textId="77777777" w:rsidR="002B78A6" w:rsidRPr="008733AC" w:rsidRDefault="00000000">
            <w:pPr>
              <w:pStyle w:val="TableParagraph"/>
              <w:ind w:left="14"/>
              <w:rPr>
                <w:b/>
                <w:sz w:val="24"/>
              </w:rPr>
            </w:pPr>
            <w:r w:rsidRPr="008733AC">
              <w:rPr>
                <w:b/>
                <w:color w:val="404040"/>
                <w:sz w:val="24"/>
              </w:rPr>
              <w:t>in bijlage I …</w:t>
            </w:r>
          </w:p>
        </w:tc>
        <w:tc>
          <w:tcPr>
            <w:tcW w:w="2977" w:type="dxa"/>
          </w:tcPr>
          <w:p w14:paraId="49180C91" w14:textId="77777777" w:rsidR="002B78A6" w:rsidRPr="008733AC" w:rsidRDefault="00000000">
            <w:pPr>
              <w:pStyle w:val="TableParagraph"/>
              <w:spacing w:before="162"/>
              <w:rPr>
                <w:sz w:val="24"/>
              </w:rPr>
            </w:pPr>
            <w:r w:rsidRPr="008733AC">
              <w:rPr>
                <w:color w:val="404040"/>
                <w:sz w:val="24"/>
                <w:u w:val="single" w:color="404040"/>
              </w:rPr>
              <w:t>Niet</w:t>
            </w:r>
            <w:r w:rsidRPr="008733AC">
              <w:rPr>
                <w:color w:val="404040"/>
                <w:sz w:val="24"/>
              </w:rPr>
              <w:t xml:space="preserve"> onderworpen aan EUDR</w:t>
            </w:r>
          </w:p>
        </w:tc>
        <w:tc>
          <w:tcPr>
            <w:tcW w:w="2977" w:type="dxa"/>
          </w:tcPr>
          <w:p w14:paraId="3AA6EC2B" w14:textId="77777777" w:rsidR="002B78A6" w:rsidRPr="008733AC" w:rsidRDefault="00000000">
            <w:pPr>
              <w:pStyle w:val="TableParagraph"/>
              <w:spacing w:before="162"/>
              <w:rPr>
                <w:sz w:val="24"/>
              </w:rPr>
            </w:pPr>
            <w:r w:rsidRPr="008733AC">
              <w:rPr>
                <w:color w:val="404040"/>
                <w:sz w:val="24"/>
                <w:u w:val="single" w:color="404040"/>
              </w:rPr>
              <w:t>Niet</w:t>
            </w:r>
            <w:r w:rsidRPr="008733AC">
              <w:rPr>
                <w:color w:val="404040"/>
                <w:sz w:val="24"/>
              </w:rPr>
              <w:t xml:space="preserve"> onderworpen aan EUDR</w:t>
            </w:r>
          </w:p>
        </w:tc>
      </w:tr>
    </w:tbl>
    <w:p w14:paraId="2D00DADC" w14:textId="77777777" w:rsidR="002B78A6" w:rsidRPr="008733AC" w:rsidRDefault="00000000">
      <w:pPr>
        <w:pStyle w:val="Plattetekst"/>
        <w:spacing w:line="242" w:lineRule="auto"/>
        <w:ind w:right="160"/>
      </w:pPr>
      <w:r w:rsidRPr="008733AC">
        <w:rPr>
          <w:color w:val="404040"/>
        </w:rPr>
        <w:t>Producten die zijn opgenomen in bijlage I en die niet de in bijlage I opgenomen grondstoffen bevatten of er niet uit zijn vervaardigd, vallen niet onder de Verordening.</w:t>
      </w:r>
    </w:p>
    <w:p w14:paraId="14D8E26C" w14:textId="77777777" w:rsidR="002B78A6" w:rsidRPr="008733AC" w:rsidRDefault="00000000">
      <w:pPr>
        <w:pStyle w:val="Plattetekst"/>
        <w:spacing w:before="236"/>
        <w:ind w:right="155"/>
      </w:pPr>
      <w:r w:rsidRPr="008733AC">
        <w:rPr>
          <w:b/>
          <w:color w:val="404040"/>
        </w:rPr>
        <w:t xml:space="preserve">De vermelding 'ex' voor de GS-code </w:t>
      </w:r>
      <w:r w:rsidRPr="008733AC">
        <w:rPr>
          <w:color w:val="404040"/>
        </w:rPr>
        <w:t>van producten in bijlage I betekent dat het in de bijlage beschreven product een uittreksel ('extract') is van alle producten die onder de GS-code kunnen worden ingedeeld. Code 9401 kan bijvoorbeeld stoelen van andere grondstoffen dan hout omvatten, maar alleen houten stoelen zijn onderworpen aan de vereisten van de Verordening.</w:t>
      </w:r>
    </w:p>
    <w:p w14:paraId="5F72FB0F" w14:textId="77777777" w:rsidR="002B78A6" w:rsidRPr="008733AC" w:rsidRDefault="00000000">
      <w:pPr>
        <w:pStyle w:val="Kop3"/>
        <w:numPr>
          <w:ilvl w:val="0"/>
          <w:numId w:val="2"/>
        </w:numPr>
        <w:tabs>
          <w:tab w:val="left" w:pos="820"/>
        </w:tabs>
        <w:ind w:left="820" w:hanging="720"/>
      </w:pPr>
      <w:bookmarkStart w:id="30" w:name="_bookmark31"/>
      <w:bookmarkEnd w:id="30"/>
      <w:r w:rsidRPr="008733AC">
        <w:rPr>
          <w:color w:val="404040"/>
        </w:rPr>
        <w:t>Is de Verordening van toepassing ongeacht de hoeveelheid of de waarde?</w:t>
      </w:r>
    </w:p>
    <w:p w14:paraId="591666A2" w14:textId="77777777" w:rsidR="002B78A6" w:rsidRPr="008733AC" w:rsidRDefault="00000000">
      <w:pPr>
        <w:spacing w:before="239"/>
        <w:ind w:left="100" w:right="163"/>
        <w:jc w:val="both"/>
        <w:rPr>
          <w:b/>
          <w:sz w:val="24"/>
        </w:rPr>
      </w:pPr>
      <w:r w:rsidRPr="008733AC">
        <w:rPr>
          <w:b/>
          <w:color w:val="404040"/>
          <w:sz w:val="24"/>
        </w:rPr>
        <w:t>Er is geen drempelvolume of -waarde van een relevante grondstof of relevant product, ook niet binnen verwerkte producten, waaronder de Verordening niet van toepassing zou zijn.</w:t>
      </w:r>
    </w:p>
    <w:p w14:paraId="4B6C3C2D" w14:textId="77777777" w:rsidR="002B78A6" w:rsidRPr="008733AC" w:rsidRDefault="00000000">
      <w:pPr>
        <w:pStyle w:val="Plattetekst"/>
        <w:ind w:right="162"/>
      </w:pPr>
      <w:r w:rsidRPr="008733AC">
        <w:rPr>
          <w:color w:val="404040"/>
        </w:rPr>
        <w:t>Marktdeelnemers en handelaren die een in bijlage I opgenomen relevant product in de handel brengen, op de markt aanbieden of uitvoeren, ongeacht de hoeveelheid, zijn onderworpen aan de verplichtingen van de Verordening.</w:t>
      </w:r>
    </w:p>
    <w:p w14:paraId="124D76B2" w14:textId="77777777" w:rsidR="002B78A6" w:rsidRPr="008733AC" w:rsidRDefault="00000000">
      <w:pPr>
        <w:pStyle w:val="Kop3"/>
        <w:numPr>
          <w:ilvl w:val="0"/>
          <w:numId w:val="2"/>
        </w:numPr>
        <w:tabs>
          <w:tab w:val="left" w:pos="820"/>
        </w:tabs>
        <w:ind w:left="820" w:hanging="720"/>
      </w:pPr>
      <w:bookmarkStart w:id="31" w:name="_bookmark32"/>
      <w:bookmarkEnd w:id="31"/>
      <w:r w:rsidRPr="008733AC">
        <w:rPr>
          <w:color w:val="404040"/>
        </w:rPr>
        <w:t>Wat met producten die in de EU zijn geproduceerd?</w:t>
      </w:r>
    </w:p>
    <w:p w14:paraId="45A05666" w14:textId="77777777" w:rsidR="00D10AAB" w:rsidRPr="008733AC" w:rsidRDefault="00000000" w:rsidP="00D10AAB">
      <w:pPr>
        <w:spacing w:before="240"/>
        <w:ind w:left="100" w:right="158"/>
        <w:jc w:val="both"/>
        <w:rPr>
          <w:color w:val="404040"/>
          <w:sz w:val="24"/>
        </w:rPr>
      </w:pPr>
      <w:r w:rsidRPr="008733AC">
        <w:rPr>
          <w:color w:val="404040"/>
          <w:sz w:val="24"/>
        </w:rPr>
        <w:t xml:space="preserve">Voor producten die binnen de EU zijn geproduceerd </w:t>
      </w:r>
      <w:r w:rsidRPr="008733AC">
        <w:rPr>
          <w:b/>
          <w:color w:val="404040"/>
          <w:sz w:val="24"/>
        </w:rPr>
        <w:t>gelden dezelfde eisen als voor producten die buiten de EU zijn geproduceerd</w:t>
      </w:r>
      <w:r w:rsidRPr="008733AC">
        <w:rPr>
          <w:color w:val="404040"/>
          <w:sz w:val="24"/>
        </w:rPr>
        <w:t>. De Verordening is van toepassing op de producten in bijlage I, ongeacht of ze in de EU zijn geproduceerd of ingevoerd.</w:t>
      </w:r>
    </w:p>
    <w:p w14:paraId="2A27129F" w14:textId="7D9B307E" w:rsidR="002B78A6" w:rsidRPr="008733AC" w:rsidRDefault="00000000" w:rsidP="00D10AAB">
      <w:pPr>
        <w:spacing w:before="240"/>
        <w:ind w:left="100" w:right="158"/>
        <w:jc w:val="both"/>
        <w:rPr>
          <w:sz w:val="24"/>
          <w:szCs w:val="24"/>
        </w:rPr>
      </w:pPr>
      <w:r w:rsidRPr="008733AC">
        <w:rPr>
          <w:color w:val="404040"/>
          <w:sz w:val="24"/>
          <w:szCs w:val="24"/>
        </w:rPr>
        <w:t>Als een EU-bedrijf bijvoorbeeld chocolade produceert (code 1806, opgenomen in bijlage I), dan wordt het beschouwd als een marktdeelnemer die onder de verplichtingen van de Verordening valt, zelfs als het cacaopoeder dat in de chocolade wordt gebruikt al in de handel is gebracht en aan de zorgvuldigheidseisen heeft voldaan (zie ook vraag 38 over marktdeelnemers stroomafwaarts in de toeleveringsketen).</w:t>
      </w:r>
    </w:p>
    <w:p w14:paraId="3802361A" w14:textId="77777777" w:rsidR="002B78A6" w:rsidRPr="008733AC" w:rsidRDefault="00000000">
      <w:pPr>
        <w:pStyle w:val="Kop3"/>
        <w:numPr>
          <w:ilvl w:val="0"/>
          <w:numId w:val="2"/>
        </w:numPr>
        <w:tabs>
          <w:tab w:val="left" w:pos="820"/>
        </w:tabs>
        <w:ind w:left="820" w:hanging="720"/>
      </w:pPr>
      <w:bookmarkStart w:id="32" w:name="_bookmark33"/>
      <w:bookmarkEnd w:id="32"/>
      <w:r w:rsidRPr="008733AC">
        <w:rPr>
          <w:color w:val="404040"/>
        </w:rPr>
        <w:t>Hoe is de Verordening van toepassing op hout dat wordt gebruikt als verpakkingsmateriaal?</w:t>
      </w:r>
    </w:p>
    <w:p w14:paraId="47E26334" w14:textId="77777777" w:rsidR="002B78A6" w:rsidRPr="008733AC" w:rsidRDefault="00000000">
      <w:pPr>
        <w:spacing w:before="239"/>
        <w:ind w:left="100" w:right="154"/>
        <w:jc w:val="both"/>
        <w:rPr>
          <w:sz w:val="24"/>
        </w:rPr>
      </w:pPr>
      <w:r w:rsidRPr="008733AC">
        <w:rPr>
          <w:color w:val="404040"/>
          <w:sz w:val="24"/>
        </w:rPr>
        <w:t xml:space="preserve">In het geval van bijv. een producent die verpakkingen aan fabrikanten verkoopt (om het </w:t>
      </w:r>
      <w:r w:rsidRPr="008733AC">
        <w:rPr>
          <w:color w:val="404040"/>
          <w:sz w:val="24"/>
        </w:rPr>
        <w:lastRenderedPageBreak/>
        <w:t>eindproduct te beschermen – niet voor verkoop als eindproduct aan consumenten), moet de tekst '</w:t>
      </w:r>
      <w:r w:rsidRPr="008733AC">
        <w:rPr>
          <w:b/>
          <w:color w:val="404040"/>
          <w:sz w:val="24"/>
        </w:rPr>
        <w:t xml:space="preserve">niet verpakkingsmateriaal dat uitsluitend wordt gebruikt als verpakkingsmateriaal om een ander in de handel gebracht product te ondersteunen, beschermen of dragen' in bijlage I onder GS-code 4415 </w:t>
      </w:r>
      <w:r w:rsidRPr="008733AC">
        <w:rPr>
          <w:color w:val="404040"/>
          <w:sz w:val="24"/>
        </w:rPr>
        <w:t>als volgt worden opgevat:</w:t>
      </w:r>
    </w:p>
    <w:p w14:paraId="5304A0F9" w14:textId="77777777" w:rsidR="002B78A6" w:rsidRPr="008733AC" w:rsidRDefault="00000000">
      <w:pPr>
        <w:pStyle w:val="Plattetekst"/>
        <w:spacing w:before="242"/>
        <w:ind w:right="161"/>
      </w:pPr>
      <w:r w:rsidRPr="008733AC">
        <w:rPr>
          <w:color w:val="404040"/>
        </w:rPr>
        <w:t>Als een van de betrokken verpakkingen in de handel wordt gebracht of wordt uitgevoerd als een op zichzelf staand product (d.w.z. een op zichzelf staande verpakking), in plaats van als verpakking voor een ander product, valt deze onder de Verordening en zijn er zorgvuldigheidseisen van toepassing.</w:t>
      </w:r>
    </w:p>
    <w:p w14:paraId="73A05D8D" w14:textId="77777777" w:rsidR="002B78A6" w:rsidRPr="008733AC" w:rsidRDefault="00000000">
      <w:pPr>
        <w:pStyle w:val="Plattetekst"/>
      </w:pPr>
      <w:r w:rsidRPr="008733AC">
        <w:rPr>
          <w:color w:val="404040"/>
        </w:rPr>
        <w:t>Als de verpakking, zoals ingedeeld onder GS-code 4415, wordt gebruikt om 'om een ander in de handel gebracht product te ondersteunen, beschermen of dragen',</w:t>
      </w:r>
    </w:p>
    <w:p w14:paraId="6A31D60B" w14:textId="77777777" w:rsidR="002B78A6" w:rsidRPr="008733AC" w:rsidRDefault="00000000">
      <w:pPr>
        <w:pStyle w:val="Plattetekst"/>
        <w:spacing w:before="0"/>
      </w:pPr>
      <w:r w:rsidRPr="008733AC">
        <w:rPr>
          <w:color w:val="404040"/>
        </w:rPr>
        <w:t>valt het niet onder de Verordening.</w:t>
      </w:r>
    </w:p>
    <w:p w14:paraId="14ED4C86" w14:textId="77777777" w:rsidR="002B78A6" w:rsidRPr="008733AC" w:rsidRDefault="00000000">
      <w:pPr>
        <w:pStyle w:val="Plattetekst"/>
        <w:ind w:right="160"/>
      </w:pPr>
      <w:r w:rsidRPr="008733AC">
        <w:rPr>
          <w:color w:val="404040"/>
        </w:rPr>
        <w:t>Verpakkingsmateriaal dat uitsluitend wordt gebruikt als verpakkingsmateriaal om een ander in de handel gebracht product te ondersteunen, te beschermen of te dragen, is geen relevant product in de zin van bijlage I van de Verordening, ongeacht de GS-code waaronder het valt.</w:t>
      </w:r>
    </w:p>
    <w:p w14:paraId="6E9D7310" w14:textId="77777777" w:rsidR="002B78A6" w:rsidRPr="008733AC" w:rsidRDefault="00000000">
      <w:pPr>
        <w:pStyle w:val="Plattetekst"/>
        <w:spacing w:before="239"/>
        <w:ind w:right="165"/>
      </w:pPr>
      <w:r w:rsidRPr="008733AC">
        <w:rPr>
          <w:color w:val="404040"/>
        </w:rPr>
        <w:t>Gebruikershandleidingen bij zendingen vallen ook onder deze vrijstelling, tenzij ze op zichzelf aangekocht zijn.</w:t>
      </w:r>
    </w:p>
    <w:p w14:paraId="29542A78" w14:textId="77777777" w:rsidR="002B78A6" w:rsidRPr="008733AC" w:rsidRDefault="00000000">
      <w:pPr>
        <w:pStyle w:val="Kop3"/>
        <w:numPr>
          <w:ilvl w:val="0"/>
          <w:numId w:val="2"/>
        </w:numPr>
        <w:tabs>
          <w:tab w:val="left" w:pos="820"/>
        </w:tabs>
        <w:ind w:left="820" w:hanging="720"/>
      </w:pPr>
      <w:bookmarkStart w:id="33" w:name="_bookmark34"/>
      <w:bookmarkEnd w:id="33"/>
      <w:r w:rsidRPr="008733AC">
        <w:rPr>
          <w:color w:val="404040"/>
        </w:rPr>
        <w:t>Behoort alle gerecycled papier/karton tot het toepassingsgebied?</w:t>
      </w:r>
    </w:p>
    <w:p w14:paraId="1CEE0899" w14:textId="77777777" w:rsidR="002B78A6" w:rsidRPr="008733AC" w:rsidRDefault="00000000">
      <w:pPr>
        <w:pStyle w:val="Plattetekst"/>
        <w:ind w:right="154"/>
      </w:pPr>
      <w:r w:rsidRPr="008733AC">
        <w:rPr>
          <w:color w:val="404040"/>
        </w:rPr>
        <w:t>De meeste gerecyclede papier- en kartonproducten bevatten een klein percentage ruwe pulp of pre-consumer gerecycled papier (bijvoorbeeld kartonafval afgedankt tijdens de productie van kartonnen dozen) om de vezels te versterken.</w:t>
      </w:r>
    </w:p>
    <w:p w14:paraId="72CCA89A" w14:textId="77777777" w:rsidR="002B78A6" w:rsidRPr="008733AC" w:rsidRDefault="00000000">
      <w:pPr>
        <w:spacing w:before="242"/>
        <w:ind w:left="100" w:right="160"/>
        <w:jc w:val="both"/>
        <w:rPr>
          <w:sz w:val="24"/>
        </w:rPr>
      </w:pPr>
      <w:r w:rsidRPr="008733AC">
        <w:rPr>
          <w:color w:val="404040"/>
          <w:sz w:val="24"/>
        </w:rPr>
        <w:t xml:space="preserve">In bijlage I is bepaald dat de Verordening </w:t>
      </w:r>
      <w:r w:rsidRPr="008733AC">
        <w:rPr>
          <w:b/>
          <w:color w:val="404040"/>
          <w:sz w:val="24"/>
        </w:rPr>
        <w:t xml:space="preserve">niet van toepassing is op goederen die volledig zijn vervaardigd uit materiaal dat zijn levenscyclus heeft voltooid en anders als afvalstof zou zijn verwijderd </w:t>
      </w:r>
      <w:r w:rsidRPr="008733AC">
        <w:rPr>
          <w:color w:val="404040"/>
          <w:sz w:val="24"/>
        </w:rPr>
        <w:t>in de zin van artikel 3, lid 1, van Richtlijn 2008/98/EG. Er geldt dus geen verplichting krachtens de Verordening met betrekking tot het gerecyclede materiaal.</w:t>
      </w:r>
    </w:p>
    <w:p w14:paraId="306CFFAD" w14:textId="77777777" w:rsidR="002B78A6" w:rsidRPr="008733AC" w:rsidRDefault="00000000">
      <w:pPr>
        <w:spacing w:before="239"/>
        <w:ind w:left="100" w:right="156"/>
        <w:jc w:val="both"/>
        <w:rPr>
          <w:sz w:val="24"/>
        </w:rPr>
      </w:pPr>
      <w:r w:rsidRPr="008733AC">
        <w:rPr>
          <w:color w:val="404040"/>
          <w:sz w:val="24"/>
        </w:rPr>
        <w:t xml:space="preserve">Als het product daarentegen </w:t>
      </w:r>
      <w:r w:rsidRPr="008733AC">
        <w:rPr>
          <w:b/>
          <w:color w:val="404040"/>
          <w:sz w:val="24"/>
        </w:rPr>
        <w:t xml:space="preserve">een percentage niet-gerecycled materiaal bevat, zijn de vereisten van de Verordening van toepassing </w:t>
      </w:r>
      <w:r w:rsidRPr="008733AC">
        <w:rPr>
          <w:color w:val="404040"/>
          <w:sz w:val="24"/>
        </w:rPr>
        <w:t>en moet het niet-gerecyclede materiaal via geolocatie worden getraceerd naar het perceel van oorsprong.</w:t>
      </w:r>
    </w:p>
    <w:p w14:paraId="609960B2" w14:textId="77777777" w:rsidR="002B78A6" w:rsidRPr="008733AC" w:rsidRDefault="00000000">
      <w:pPr>
        <w:pStyle w:val="Kop3"/>
        <w:numPr>
          <w:ilvl w:val="0"/>
          <w:numId w:val="2"/>
        </w:numPr>
        <w:tabs>
          <w:tab w:val="left" w:pos="820"/>
        </w:tabs>
        <w:ind w:left="820" w:hanging="720"/>
      </w:pPr>
      <w:bookmarkStart w:id="34" w:name="_bookmark35"/>
      <w:bookmarkEnd w:id="34"/>
      <w:r w:rsidRPr="008733AC">
        <w:rPr>
          <w:color w:val="404040"/>
        </w:rPr>
        <w:t>Wat zijn GN- en GS-codes en hoe moeten ze worden gebruikt?</w:t>
      </w:r>
    </w:p>
    <w:p w14:paraId="640833C7" w14:textId="3E710FB4" w:rsidR="002B78A6" w:rsidRPr="008733AC" w:rsidRDefault="00000000" w:rsidP="002133AA">
      <w:pPr>
        <w:pStyle w:val="Plattetekst"/>
        <w:ind w:right="156"/>
      </w:pPr>
      <w:r w:rsidRPr="008733AC">
        <w:rPr>
          <w:color w:val="404040"/>
        </w:rPr>
        <w:t>De nomenclatuur die valt onder het Verdrag betreffende het geharmoniseerde systeem inzake de omschrijving en de codering van goederen, ook bekend als de '</w:t>
      </w:r>
      <w:r w:rsidRPr="008733AC">
        <w:rPr>
          <w:b/>
          <w:color w:val="404040"/>
        </w:rPr>
        <w:t>GS-nomenclatuur</w:t>
      </w:r>
      <w:r w:rsidRPr="008733AC">
        <w:rPr>
          <w:color w:val="404040"/>
        </w:rPr>
        <w:t>', is een veelzijdige internationale nomenclatuur opgesteld onder auspiciën van de Werelddouaneorganisatie (WDO). Deze nomenclatuur kent zescijferige codes toe om goederen te classificeren en is wereldwijd</w:t>
      </w:r>
      <w:r w:rsidR="002133AA" w:rsidRPr="008733AC">
        <w:rPr>
          <w:color w:val="404040"/>
        </w:rPr>
        <w:t xml:space="preserve"> </w:t>
      </w:r>
      <w:r w:rsidRPr="008733AC">
        <w:rPr>
          <w:color w:val="404040"/>
        </w:rPr>
        <w:t>van toepassing. Landen/regio's kunnen extra nummers toevoegen aan de universele zescijferige GS-nomenclatuur voor een meer gedetailleerde classificatie.</w:t>
      </w:r>
    </w:p>
    <w:p w14:paraId="29B752FA" w14:textId="77777777" w:rsidR="002B78A6" w:rsidRPr="008733AC" w:rsidRDefault="00000000">
      <w:pPr>
        <w:pStyle w:val="Plattetekst"/>
        <w:ind w:right="155"/>
      </w:pPr>
      <w:r w:rsidRPr="008733AC">
        <w:rPr>
          <w:b/>
          <w:color w:val="404040"/>
        </w:rPr>
        <w:t>De Gecombineerde Nomenclatuur (GN-code</w:t>
      </w:r>
      <w:r w:rsidRPr="008733AC">
        <w:rPr>
          <w:color w:val="404040"/>
        </w:rPr>
        <w:t>) van de Europese Unie is een goederencode van acht cijfers die de wereldwijde GS-nomenclatuur verder onderverdeelt in meer specifieke goederen om aan de behoeften van de Europese Gemeenschap te voldoen.</w:t>
      </w:r>
    </w:p>
    <w:p w14:paraId="78F71A0F" w14:textId="77777777" w:rsidR="002B78A6" w:rsidRPr="008733AC" w:rsidRDefault="00000000">
      <w:pPr>
        <w:pStyle w:val="Plattetekst"/>
        <w:spacing w:before="239"/>
        <w:ind w:right="155"/>
      </w:pPr>
      <w:r w:rsidRPr="008733AC">
        <w:rPr>
          <w:color w:val="404040"/>
        </w:rPr>
        <w:lastRenderedPageBreak/>
        <w:t>De GN-code is de basis voor de aangifte van goederen voor invoer in of uitvoer uit de Europese Unie en ook voor handelsstatistieken binnen de EU. Grondstoffen en producten in bijlage I bij de Verordening worden ingedeeld aan de hand van de GN-codes. De relevante producten in bijlage I bij de Verordening zijn ingedeeld in de gecombineerde nomenclatuur vastgesteld in bijlage I bij Verordening (EEG) nr. 2658/87.</w:t>
      </w:r>
    </w:p>
    <w:p w14:paraId="3AAF981A" w14:textId="77777777" w:rsidR="002B78A6" w:rsidRPr="008733AC" w:rsidRDefault="00000000">
      <w:pPr>
        <w:pStyle w:val="Plattetekst"/>
        <w:spacing w:before="242"/>
        <w:ind w:right="155"/>
      </w:pPr>
      <w:r w:rsidRPr="008733AC">
        <w:rPr>
          <w:color w:val="404040"/>
        </w:rPr>
        <w:t>Bij invoer, wanneer goederen in het vrije verkeer worden gebracht zoals bepaald in artikel 201 van de Verordening (EU) nr. 952/2013 tot vaststelling van het douanewetboek van de Unie (DWU-verordening), kan de GN-code verder worden onderverdeeld in een tiencijferige TARIC-code die specifiek is gecreëerd om te voldoen aan de behoeften van de EU-wetgeving. Bij de aangifte van goederen voor uitvoer, zoals bepaald in artikel 269 van de DWU-verordening (EU) nr. 952/2013, kan de uiteindelijke onderverdeling gaan tot een achtcijferige GN-code.</w:t>
      </w:r>
    </w:p>
    <w:p w14:paraId="7D6AF196" w14:textId="77777777" w:rsidR="002B78A6" w:rsidRPr="008733AC" w:rsidRDefault="00000000">
      <w:pPr>
        <w:pStyle w:val="Plattetekst"/>
        <w:ind w:right="155"/>
      </w:pPr>
      <w:r w:rsidRPr="008733AC">
        <w:rPr>
          <w:color w:val="404040"/>
        </w:rPr>
        <w:t>Toeleveranciers moeten hun producten indelen op basis van bijlage I bij de basisverordening van de GN (Verordening (EEG) nr. 2658/87 van de Raad met betrekking tot de tarief- en statistieknomenclatuur en het gemeenschappelijk douanetarief) om vast te stellen of de Verordening op hen van toepassing is. De HS-codes kunnen elke 5 jaar veranderen. De GN-verordening van de EU wordt jaarlijks aangepast aan eventuele wijzigingen.</w:t>
      </w:r>
    </w:p>
    <w:p w14:paraId="0AC30706" w14:textId="67A05A73" w:rsidR="002B78A6" w:rsidRPr="008733AC" w:rsidRDefault="00000000">
      <w:pPr>
        <w:pStyle w:val="Plattetekst"/>
        <w:spacing w:before="239"/>
        <w:ind w:right="161"/>
      </w:pPr>
      <w:r w:rsidRPr="008733AC">
        <w:rPr>
          <w:color w:val="404040"/>
        </w:rPr>
        <w:t xml:space="preserve">Raadpleeg voor meer informatie: </w:t>
      </w:r>
      <w:hyperlink r:id="rId9">
        <w:r w:rsidRPr="008733AC">
          <w:rPr>
            <w:color w:val="004493"/>
            <w:u w:val="single" w:color="004493"/>
          </w:rPr>
          <w:t xml:space="preserve">Verordening (EEG) nr. 2658/87 van de Raad van 23 juli 1987 met betrekking tot </w:t>
        </w:r>
      </w:hyperlink>
      <w:hyperlink r:id="rId10">
        <w:r w:rsidRPr="008733AC">
          <w:rPr>
            <w:color w:val="004493"/>
            <w:u w:val="single" w:color="004493"/>
          </w:rPr>
          <w:t>de tarief- en statistieknomenclatuur en het gemeenschappelijk douanetarief</w:t>
        </w:r>
      </w:hyperlink>
    </w:p>
    <w:p w14:paraId="76F12AA6" w14:textId="77777777" w:rsidR="002B78A6" w:rsidRPr="008733AC" w:rsidRDefault="00000000">
      <w:pPr>
        <w:spacing w:before="242"/>
        <w:ind w:left="1" w:right="61"/>
        <w:jc w:val="center"/>
        <w:rPr>
          <w:b/>
          <w:sz w:val="24"/>
        </w:rPr>
      </w:pPr>
      <w:r w:rsidRPr="008733AC">
        <w:rPr>
          <w:b/>
          <w:color w:val="404040"/>
          <w:sz w:val="24"/>
        </w:rPr>
        <w:t>°°0°°</w:t>
      </w:r>
    </w:p>
    <w:p w14:paraId="1CFE085C" w14:textId="12744DCD" w:rsidR="002B78A6" w:rsidRPr="008733AC" w:rsidRDefault="00000000">
      <w:pPr>
        <w:pStyle w:val="Kop1"/>
        <w:spacing w:before="241"/>
      </w:pPr>
      <w:bookmarkStart w:id="35" w:name="_bookmark36"/>
      <w:bookmarkEnd w:id="35"/>
      <w:r w:rsidRPr="008733AC">
        <w:rPr>
          <w:color w:val="404040"/>
        </w:rPr>
        <w:t>Dragers van verplichtingen</w:t>
      </w:r>
    </w:p>
    <w:p w14:paraId="5893742F" w14:textId="77777777" w:rsidR="002B78A6" w:rsidRPr="008733AC" w:rsidRDefault="00000000">
      <w:pPr>
        <w:pStyle w:val="Kop3"/>
        <w:numPr>
          <w:ilvl w:val="0"/>
          <w:numId w:val="2"/>
        </w:numPr>
        <w:tabs>
          <w:tab w:val="left" w:pos="820"/>
        </w:tabs>
        <w:spacing w:before="237"/>
        <w:ind w:left="820" w:hanging="720"/>
      </w:pPr>
      <w:bookmarkStart w:id="36" w:name="_bookmark37"/>
      <w:bookmarkEnd w:id="36"/>
      <w:r w:rsidRPr="008733AC">
        <w:rPr>
          <w:color w:val="404040"/>
        </w:rPr>
        <w:t>Wie wordt beschouwd als een marktdeelnemer?</w:t>
      </w:r>
    </w:p>
    <w:p w14:paraId="2BDD02D8" w14:textId="77777777" w:rsidR="002B78A6" w:rsidRPr="008733AC" w:rsidRDefault="00000000">
      <w:pPr>
        <w:pStyle w:val="Plattetekst"/>
        <w:ind w:right="164"/>
      </w:pPr>
      <w:r w:rsidRPr="008733AC">
        <w:rPr>
          <w:color w:val="404040"/>
        </w:rPr>
        <w:t>Zoals gedefinieerd in artikel 2, lid 15, van de Verordening is een marktdeelnemer een natuurlijk of rechtspersoon die in het kader van een handelsactiviteit relevante producten in de handel brengt (incl. via invoer) of uitvoert.</w:t>
      </w:r>
    </w:p>
    <w:p w14:paraId="58C2F527" w14:textId="77777777" w:rsidR="002B78A6" w:rsidRPr="008733AC" w:rsidRDefault="00000000">
      <w:pPr>
        <w:pStyle w:val="Plattetekst"/>
        <w:spacing w:before="242"/>
        <w:ind w:right="156"/>
      </w:pPr>
      <w:r w:rsidRPr="008733AC">
        <w:rPr>
          <w:color w:val="404040"/>
        </w:rPr>
        <w:t>Onder deze definitie vallen ook bedrijven die een product van bijlage I (dat al het voorwerp van zorgvuldigheidseisen is geweest) omzetten in een ander product van bijlage I. Als bedrijf A, dat in de EU is gevestigd, bijvoorbeeld cacaoboter invoert (GS-code 1804, opgenomen in bijlage I) en bedrijf B, dat ook in de EU is gevestigd, die cacaoboter gebruikt om chocolade te maken (GS-code 1806, opgenomen in bijlage I) en deze in de handel brengt, zouden zowel bedrijf A als bedrijf B onder de Verordening als marktdeelnemers worden beschouwd.</w:t>
      </w:r>
    </w:p>
    <w:p w14:paraId="4A43CD75" w14:textId="77777777" w:rsidR="002B78A6" w:rsidRPr="008733AC" w:rsidRDefault="00000000">
      <w:pPr>
        <w:pStyle w:val="Plattetekst"/>
        <w:ind w:right="153"/>
        <w:rPr>
          <w:color w:val="404040"/>
        </w:rPr>
      </w:pPr>
      <w:r w:rsidRPr="008733AC">
        <w:rPr>
          <w:color w:val="404040"/>
        </w:rPr>
        <w:t>Marktdeelnemers die een in bijlage I opgenomen product in de handel brengen dat niet onderworpen is geweest aan zorgvuldigheidseisen bij een eerdere stap in de toeleveringsketen (bijvoorbeeld importeurs die cacao inkopen) zijn, ongeacht hun omvang, verplicht een zorgvuldigheidsverklaring in te dienen.</w:t>
      </w:r>
    </w:p>
    <w:p w14:paraId="7D0D573A" w14:textId="77777777" w:rsidR="002133AA" w:rsidRPr="008733AC" w:rsidRDefault="002133AA">
      <w:pPr>
        <w:pStyle w:val="Plattetekst"/>
        <w:ind w:right="153"/>
      </w:pPr>
    </w:p>
    <w:p w14:paraId="47BA96D9" w14:textId="77777777" w:rsidR="002B78A6" w:rsidRPr="008733AC" w:rsidRDefault="00000000">
      <w:pPr>
        <w:pStyle w:val="Kop3"/>
        <w:numPr>
          <w:ilvl w:val="0"/>
          <w:numId w:val="2"/>
        </w:numPr>
        <w:tabs>
          <w:tab w:val="left" w:pos="820"/>
        </w:tabs>
        <w:spacing w:before="41"/>
        <w:ind w:left="820" w:hanging="720"/>
      </w:pPr>
      <w:bookmarkStart w:id="37" w:name="_bookmark38"/>
      <w:bookmarkEnd w:id="37"/>
      <w:r w:rsidRPr="008733AC">
        <w:rPr>
          <w:color w:val="404040"/>
        </w:rPr>
        <w:t>Wat betekent 'in het kader van een handelsactiviteit'?</w:t>
      </w:r>
    </w:p>
    <w:p w14:paraId="5C39E237" w14:textId="77777777" w:rsidR="002B78A6" w:rsidRPr="008733AC" w:rsidRDefault="00000000">
      <w:pPr>
        <w:pStyle w:val="Plattetekst"/>
      </w:pPr>
      <w:r w:rsidRPr="008733AC">
        <w:rPr>
          <w:color w:val="404040"/>
        </w:rPr>
        <w:t xml:space="preserve">Een handelsactiviteit wordt opgevat als een activiteit die plaatsvindt in een </w:t>
      </w:r>
      <w:r w:rsidRPr="008733AC">
        <w:rPr>
          <w:color w:val="404040"/>
        </w:rPr>
        <w:lastRenderedPageBreak/>
        <w:t>bedrijfsgerelateerde context.</w:t>
      </w:r>
    </w:p>
    <w:p w14:paraId="33A83A96" w14:textId="77777777" w:rsidR="002B78A6" w:rsidRPr="008733AC" w:rsidRDefault="00000000">
      <w:pPr>
        <w:pStyle w:val="Plattetekst"/>
        <w:ind w:right="156"/>
      </w:pPr>
      <w:r w:rsidRPr="008733AC">
        <w:rPr>
          <w:color w:val="404040"/>
        </w:rPr>
        <w:t>De gecombineerde definities van 'marktdeelnemer' (artikel 2, lid 15) en van 'in het kader van een handelsactiviteit' (artikel 2, lid 19) impliceren dat elke persoon die een relevant product in de handel brengt om het te verkopen (met of zonder verwerking) of om het cadeau te geven, te verwerken of te distribueren aan commerciële of niet-commerciële consumenten, of om het te gebruiken in het kader van zijn handelsactiviteiten, onderworpen is aan de zorgvuldigheidseisen en de zorgvuldigheidsverklaring moet indienen.</w:t>
      </w:r>
    </w:p>
    <w:p w14:paraId="57DC67D4" w14:textId="77777777" w:rsidR="002B78A6" w:rsidRPr="008733AC" w:rsidRDefault="00000000">
      <w:pPr>
        <w:pStyle w:val="Kop3"/>
        <w:numPr>
          <w:ilvl w:val="0"/>
          <w:numId w:val="2"/>
        </w:numPr>
        <w:tabs>
          <w:tab w:val="left" w:pos="820"/>
        </w:tabs>
        <w:spacing w:before="241"/>
        <w:ind w:left="820" w:hanging="720"/>
      </w:pPr>
      <w:bookmarkStart w:id="38" w:name="_bookmark39"/>
      <w:bookmarkEnd w:id="38"/>
      <w:r w:rsidRPr="008733AC">
        <w:rPr>
          <w:color w:val="404040"/>
        </w:rPr>
        <w:t>Wat betekent 'relevante wetgeving van het land van productie'?</w:t>
      </w:r>
    </w:p>
    <w:p w14:paraId="3D8819F7" w14:textId="77777777" w:rsidR="002B78A6" w:rsidRPr="008733AC" w:rsidRDefault="00000000">
      <w:pPr>
        <w:pStyle w:val="Plattetekst"/>
        <w:ind w:right="163"/>
      </w:pPr>
      <w:r w:rsidRPr="008733AC">
        <w:rPr>
          <w:color w:val="404040"/>
        </w:rPr>
        <w:t>Relevante grondstoffen en producten kunnen alleen in de handel in de EU worden gebracht als ze ontbossingsvrij zijn en voldoen aan de relevante wetgeving van het land van productie (art. 3(b), art. 2(40) EUDR).</w:t>
      </w:r>
    </w:p>
    <w:p w14:paraId="2958EC6D" w14:textId="77777777" w:rsidR="002B78A6" w:rsidRPr="008733AC" w:rsidRDefault="00000000">
      <w:pPr>
        <w:pStyle w:val="Plattetekst"/>
        <w:ind w:right="158"/>
      </w:pPr>
      <w:r w:rsidRPr="008733AC">
        <w:rPr>
          <w:color w:val="404040"/>
        </w:rPr>
        <w:t>'Relevante wetgeving' kan onder andere nationale wetgeving (inclusief relevante afgeleide wetgeving) en rechtspraak omvatten, evenals internationale wetgeving die van toepassing is in de nationale wetgeving. De Verordening bevat een niet-uitputtende lijst van wetgevingsgebieden zonder specifieke rechtshandelingen te specificeren, aangezien deze van land tot land verschillen en aan wijzigingen onderhevig kunnen zijn. Overeenkomstig de definitie moet de onder (a) tot en met (h) genoemde wetgeving worden geïnterpreteerd als verband houdend met het productiegebied. Voor de wetgeving inzake milieubescherming moet de betekenis en het doel van art. 1 van de EUDR in aanmerking worden genomen. Daarom is wetgeving die verband houdt met de bescherming van bossen, de vermindering van de uitstoot van broeikasgassen of de bescherming van de biodiversiteit relevant.</w:t>
      </w:r>
    </w:p>
    <w:p w14:paraId="5372E751" w14:textId="77777777" w:rsidR="002B78A6" w:rsidRPr="008733AC" w:rsidRDefault="00000000">
      <w:pPr>
        <w:pStyle w:val="Plattetekst"/>
        <w:spacing w:before="239"/>
        <w:ind w:right="161"/>
      </w:pPr>
      <w:r w:rsidRPr="008733AC">
        <w:rPr>
          <w:color w:val="404040"/>
        </w:rPr>
        <w:t>Voor de risicobeoordeling is relevante documentatie vereist, art. 9(1)(h), art. 10 EUDR. Dergelijke documentatie kan bijvoorbeeld bestaan uit officiële documenten van overheidsinstanties, contractuele overeenkomsten, gerechtelijke uitspraken of uitgevoerde effectbeoordelingen en audits. In elk geval moet de marktdeelnemer controleren of deze documenten verifieerbaar en betrouwbaar zijn, rekening houdend met het risico op corruptie in het productieland.</w:t>
      </w:r>
    </w:p>
    <w:p w14:paraId="7A20E078" w14:textId="77777777" w:rsidR="002B78A6" w:rsidRPr="008733AC" w:rsidRDefault="00000000">
      <w:pPr>
        <w:pStyle w:val="Plattetekst"/>
        <w:spacing w:before="242"/>
      </w:pPr>
      <w:r w:rsidRPr="008733AC">
        <w:rPr>
          <w:color w:val="404040"/>
        </w:rPr>
        <w:t>De Commissie zal te zijner tijd een specifieke richtsnoer over wettigheid publiceren.</w:t>
      </w:r>
    </w:p>
    <w:p w14:paraId="5A5057D3" w14:textId="77777777" w:rsidR="002B78A6" w:rsidRPr="008733AC" w:rsidRDefault="00000000">
      <w:pPr>
        <w:pStyle w:val="Kop3"/>
        <w:numPr>
          <w:ilvl w:val="0"/>
          <w:numId w:val="2"/>
        </w:numPr>
        <w:tabs>
          <w:tab w:val="left" w:pos="820"/>
        </w:tabs>
        <w:spacing w:before="239"/>
        <w:ind w:left="820" w:hanging="720"/>
      </w:pPr>
      <w:bookmarkStart w:id="39" w:name="_bookmark40"/>
      <w:bookmarkEnd w:id="39"/>
      <w:r w:rsidRPr="008733AC">
        <w:rPr>
          <w:color w:val="404040"/>
        </w:rPr>
        <w:t>Wat zijn de verplichtingen van marktdeelnemers stroomafwaarts in de toeleveringsketen?</w:t>
      </w:r>
    </w:p>
    <w:p w14:paraId="574619C9" w14:textId="77777777" w:rsidR="002B78A6" w:rsidRPr="008733AC" w:rsidRDefault="00000000">
      <w:pPr>
        <w:pStyle w:val="Plattetekst"/>
        <w:ind w:right="156"/>
      </w:pPr>
      <w:r w:rsidRPr="008733AC">
        <w:rPr>
          <w:color w:val="404040"/>
        </w:rPr>
        <w:t xml:space="preserve">Marktdeelnemers stroomafwaarts in de toeleveringsketen zijn degenen die een product uit bijlage I (dat al aan zorgvuldigheidseisen is onderworpen) omzetten in een ander product uit bijlage I. Hun verplichtingen variëren afhankelijk van het feit of zij al dan niet kleine en middelgrote ondernemingen (kmo's) zijn. </w:t>
      </w:r>
    </w:p>
    <w:p w14:paraId="37580F95" w14:textId="77777777" w:rsidR="002B78A6" w:rsidRPr="008733AC" w:rsidRDefault="00000000">
      <w:pPr>
        <w:pStyle w:val="Plattetekst"/>
        <w:ind w:right="154"/>
        <w:rPr>
          <w:color w:val="404040"/>
        </w:rPr>
      </w:pPr>
      <w:r w:rsidRPr="008733AC">
        <w:rPr>
          <w:color w:val="404040"/>
        </w:rPr>
        <w:t xml:space="preserve">Bij het indienen van hun zorgvuldigheidsverklaring in het informatiesysteem kunnen niet-kmo-marktdeelnemers stroomafwaarts in de toeleveringsketen verwijzen naar eerder in de toeleveringsketen uitgevoerd zorgvuldigheidsonderzoek door het relevante referentienummer op te nemen voor de delen van hun relevante producten die al aan zorgvuldigheidseisen zijn onderworpen. Ze zijn echter verplicht zich ervan te vergewissen dat er zorgvuldigheid is betracht en ze blijven juridisch aansprakelijk in het geval van een inbreuk op de Verordening. Voor delen van relevante producten die niet aan een </w:t>
      </w:r>
      <w:r w:rsidRPr="008733AC">
        <w:rPr>
          <w:color w:val="404040"/>
        </w:rPr>
        <w:lastRenderedPageBreak/>
        <w:t xml:space="preserve">zorgvuldigheidsprocedure onderworpen zijn geweest, betrachten niet-kmo-marktdeelnemers zorgvuldigheid in zijn volledigheid en dienen zij een zorgvuldigheidsverklaring in. </w:t>
      </w:r>
    </w:p>
    <w:p w14:paraId="1E06B32E" w14:textId="77777777" w:rsidR="002133AA" w:rsidRPr="008733AC" w:rsidRDefault="002133AA" w:rsidP="00CE6172">
      <w:pPr>
        <w:pStyle w:val="Plattetekst"/>
        <w:spacing w:before="0"/>
        <w:ind w:right="154"/>
      </w:pPr>
    </w:p>
    <w:p w14:paraId="57AA5E18" w14:textId="77777777" w:rsidR="002B78A6" w:rsidRPr="008733AC" w:rsidRDefault="00000000">
      <w:pPr>
        <w:pStyle w:val="Plattetekst"/>
        <w:spacing w:before="41"/>
        <w:ind w:right="160"/>
      </w:pPr>
      <w:r w:rsidRPr="008733AC">
        <w:rPr>
          <w:color w:val="404040"/>
        </w:rPr>
        <w:t xml:space="preserve">Kmo-marktdeelnemers stroomafwaarts in de toeleveringsketen zijn onderworpen aan dezelfde verplichtingen als marktdeelnemers en blijven juridisch aansprakelijk in geval van een inbreuk op de Verordening. Met betrekking tot delen van hun producten die aan zorgvuldigheidseisen zijn onderworpen, moeten zij evenwel a) geen zorgvuldigheidsonderzoek uitvoeren voor delen van hun producten die al aan een zorgvuldigheidsonderzoek onderworpen zijn geweest; b) geen zorgvuldigheidsverklaring indienen in het informatiesysteem. Ze moeten wel nog steeds zorgvuldigheidsreferentienummers meedelen die ze hebben verkregen uit eerdere stappen in de toeleveringsketen. Voor delen van relevante producten die niet aan een zorgvuldigheidsprocedure onderworpen zijn geweest, betrachten kmo-marktdeelnemers zorgvuldigheid in zijn volledigheid en dienen zij een zorgvuldigheidsverklaring in. </w:t>
      </w:r>
    </w:p>
    <w:p w14:paraId="3DE89590" w14:textId="77777777" w:rsidR="002B78A6" w:rsidRPr="008733AC" w:rsidRDefault="00000000">
      <w:pPr>
        <w:pStyle w:val="Kop3"/>
        <w:numPr>
          <w:ilvl w:val="0"/>
          <w:numId w:val="2"/>
        </w:numPr>
        <w:tabs>
          <w:tab w:val="left" w:pos="820"/>
        </w:tabs>
        <w:spacing w:before="241"/>
        <w:ind w:left="820" w:hanging="720"/>
      </w:pPr>
      <w:bookmarkStart w:id="40" w:name="_bookmark41"/>
      <w:bookmarkEnd w:id="40"/>
      <w:r w:rsidRPr="008733AC">
        <w:rPr>
          <w:color w:val="404040"/>
        </w:rPr>
        <w:t>Hoe is de Verordening van toepassing op uitvoer?</w:t>
      </w:r>
    </w:p>
    <w:p w14:paraId="1EBE7CCC" w14:textId="77777777" w:rsidR="002B78A6" w:rsidRPr="008733AC" w:rsidRDefault="00000000">
      <w:pPr>
        <w:pStyle w:val="Plattetekst"/>
        <w:ind w:right="154"/>
      </w:pPr>
      <w:r w:rsidRPr="008733AC">
        <w:rPr>
          <w:color w:val="404040"/>
        </w:rPr>
        <w:t>De Verordening is van toepassing op zowel invoer als uitvoer. Marktdeelnemers die relevante producten uitvoeren, moeten het referentienummer van de zorgvuldigheidsverklaring in hun uitvoeraangifte vermelden. Marktdeelnemers die producten uitvoeren die gemaakt zijn met grondstoffen die al het voorwerp uitmaakten van een zorgvuldigheidsverklaring, kunnen ook gebruikmaken van de relevante vereenvoudigingen in artikel 4 (</w:t>
      </w:r>
      <w:hyperlink r:id="rId11" w:anchor="what-about-products-produced-in-the-eu">
        <w:r w:rsidRPr="008733AC">
          <w:rPr>
            <w:color w:val="004493"/>
            <w:u w:val="single" w:color="004493"/>
          </w:rPr>
          <w:t>zie informatie voor in de EU geproduceerde producten</w:t>
        </w:r>
      </w:hyperlink>
      <w:r w:rsidRPr="008733AC">
        <w:rPr>
          <w:color w:val="404040"/>
        </w:rPr>
        <w:t>).</w:t>
      </w:r>
    </w:p>
    <w:p w14:paraId="0CC65C87" w14:textId="77777777" w:rsidR="002B78A6" w:rsidRPr="008733AC" w:rsidRDefault="00000000">
      <w:pPr>
        <w:pStyle w:val="Kop3"/>
        <w:numPr>
          <w:ilvl w:val="0"/>
          <w:numId w:val="2"/>
        </w:numPr>
        <w:tabs>
          <w:tab w:val="left" w:pos="820"/>
        </w:tabs>
        <w:ind w:left="820" w:hanging="720"/>
      </w:pPr>
      <w:bookmarkStart w:id="41" w:name="_bookmark42"/>
      <w:bookmarkEnd w:id="41"/>
      <w:r w:rsidRPr="008733AC">
        <w:rPr>
          <w:color w:val="404040"/>
        </w:rPr>
        <w:t>Welke bedrijven zijn niet-kmo-handelaren en wat zijn hun verplichtingen?</w:t>
      </w:r>
    </w:p>
    <w:p w14:paraId="30D86649" w14:textId="77777777" w:rsidR="002B78A6" w:rsidRPr="008733AC" w:rsidRDefault="00000000">
      <w:pPr>
        <w:pStyle w:val="Plattetekst"/>
        <w:spacing w:before="239"/>
        <w:ind w:right="158"/>
      </w:pPr>
      <w:r w:rsidRPr="008733AC">
        <w:rPr>
          <w:color w:val="404040"/>
        </w:rPr>
        <w:t>Een niet-kmo-handelaar is een handelaar die geen kleine of middelgrote onderneming is overeenkomstig artikel 2, lid 30, van de EUDR. Deze bepaling verwijst naar de definities in artikel 3 van Richtlijn 2013/34/EU.</w:t>
      </w:r>
    </w:p>
    <w:p w14:paraId="78D8BDAE" w14:textId="77777777" w:rsidR="002B78A6" w:rsidRPr="008733AC" w:rsidRDefault="00000000">
      <w:pPr>
        <w:pStyle w:val="Plattetekst"/>
        <w:ind w:right="160"/>
      </w:pPr>
      <w:r w:rsidRPr="008733AC">
        <w:rPr>
          <w:color w:val="404040"/>
        </w:rPr>
        <w:t>Hieronder vallen in principe alle grote bedrijven die geen marktdeelnemer zijn en die de producten uit bijlage 1 op de markt brengen, bijvoorbeeld grote supermarkt- of winkelketens.</w:t>
      </w:r>
    </w:p>
    <w:p w14:paraId="2DF1C123" w14:textId="77777777" w:rsidR="002B78A6" w:rsidRPr="008733AC" w:rsidRDefault="00000000">
      <w:pPr>
        <w:pStyle w:val="Plattetekst"/>
        <w:ind w:right="159"/>
      </w:pPr>
      <w:r w:rsidRPr="008733AC">
        <w:rPr>
          <w:color w:val="404040"/>
        </w:rPr>
        <w:t>Krachtens artikel 5, lid 1, van de Verordening zijn de verplichtingen van grote handelaren dezelfde als die van grote marktdeelnemers stroomafwaarts: a) ze moeten een zorgvuldigheidsverklaring indienen; b) wanneer ze dit doen, kunnen zij zich beroepen op de eerder in de toeleveringsketen verricht zorgvuldigheidsonderzoek, maar in dat geval zijn de bepalingen van artikel 4, lid 9, op hen van toepassing; c) ze zijn aansprakelijk in geval van een inbreuk op de Verordening, ook voor een door een stroomopwaartse marktdeelnemer verricht zorgvuldigheidsonderzoek of een door een stroomopwaartse marktdeelnemer ingediende zorgvuldigheidsverklaring.</w:t>
      </w:r>
    </w:p>
    <w:p w14:paraId="2E8B182F" w14:textId="77777777" w:rsidR="002B78A6" w:rsidRPr="008733AC" w:rsidRDefault="00000000">
      <w:pPr>
        <w:pStyle w:val="Kop3"/>
        <w:numPr>
          <w:ilvl w:val="0"/>
          <w:numId w:val="2"/>
        </w:numPr>
        <w:tabs>
          <w:tab w:val="left" w:pos="820"/>
        </w:tabs>
        <w:spacing w:before="241"/>
        <w:ind w:left="820" w:hanging="720"/>
      </w:pPr>
      <w:bookmarkStart w:id="42" w:name="_bookmark43"/>
      <w:bookmarkEnd w:id="42"/>
      <w:r w:rsidRPr="008733AC">
        <w:rPr>
          <w:color w:val="404040"/>
        </w:rPr>
        <w:t>Wie is aansprakelijk in het geval van inbreuk op de Verordening?</w:t>
      </w:r>
    </w:p>
    <w:p w14:paraId="292B8CF5" w14:textId="77777777" w:rsidR="002B78A6" w:rsidRPr="008733AC" w:rsidRDefault="00000000">
      <w:pPr>
        <w:pStyle w:val="Plattetekst"/>
        <w:ind w:right="153"/>
      </w:pPr>
      <w:r w:rsidRPr="008733AC">
        <w:rPr>
          <w:color w:val="404040"/>
        </w:rPr>
        <w:t xml:space="preserve">Alle marktdeelnemers blijven verantwoordelijk voor de conformiteit van het relevante product dat ze in de handel brengen of uitvoeren. De Verordening verplicht marktdeelnemers (of niet-kmo-handelaren) ook om alle nodige informatie mee te delen </w:t>
      </w:r>
      <w:r w:rsidRPr="008733AC">
        <w:rPr>
          <w:color w:val="404040"/>
        </w:rPr>
        <w:lastRenderedPageBreak/>
        <w:t>doorheen de toeleveringsketen.</w:t>
      </w:r>
    </w:p>
    <w:p w14:paraId="06CB4A3B" w14:textId="77777777" w:rsidR="002B78A6" w:rsidRPr="008733AC" w:rsidRDefault="00000000">
      <w:pPr>
        <w:pStyle w:val="Plattetekst"/>
        <w:ind w:right="165"/>
      </w:pPr>
      <w:r w:rsidRPr="008733AC">
        <w:rPr>
          <w:color w:val="404040"/>
        </w:rPr>
        <w:t>Handelaren blijven ook verantwoordelijk voor relevante producten die ze op de markt aanbieden of uitvoeren.</w:t>
      </w:r>
    </w:p>
    <w:p w14:paraId="3FEB67E4" w14:textId="77777777" w:rsidR="002B78A6" w:rsidRPr="008733AC" w:rsidRDefault="00000000">
      <w:pPr>
        <w:pStyle w:val="Plattetekst"/>
        <w:ind w:right="155"/>
        <w:rPr>
          <w:color w:val="404040"/>
        </w:rPr>
      </w:pPr>
      <w:r w:rsidRPr="008733AC">
        <w:rPr>
          <w:color w:val="404040"/>
        </w:rPr>
        <w:t>In geval van een inbreuk op de Verordening (als producten de markt al hebben betreden of als de marktdeelnemer informatie niet naar behoren bekendmaakt) blijft elke speler in de toeleveringsketen die betrokken is bij het in de handel brengen of het op de markt aanbieden of de uitvoer van een relevant product, dan ook verantwoordelijkheid en kan hij aansprakelijk worden gesteld.</w:t>
      </w:r>
    </w:p>
    <w:p w14:paraId="04A5792E" w14:textId="77777777" w:rsidR="002133AA" w:rsidRPr="008733AC" w:rsidRDefault="002133AA" w:rsidP="00CE6172">
      <w:pPr>
        <w:pStyle w:val="Plattetekst"/>
        <w:spacing w:before="0"/>
        <w:ind w:right="155"/>
      </w:pPr>
    </w:p>
    <w:p w14:paraId="477E5E24" w14:textId="77777777" w:rsidR="002B78A6" w:rsidRPr="008733AC" w:rsidRDefault="00000000">
      <w:pPr>
        <w:pStyle w:val="Kop3"/>
        <w:numPr>
          <w:ilvl w:val="0"/>
          <w:numId w:val="2"/>
        </w:numPr>
        <w:tabs>
          <w:tab w:val="left" w:pos="820"/>
        </w:tabs>
        <w:spacing w:before="41"/>
        <w:ind w:left="820" w:hanging="720"/>
      </w:pPr>
      <w:bookmarkStart w:id="43" w:name="_bookmark44"/>
      <w:bookmarkEnd w:id="43"/>
      <w:r w:rsidRPr="008733AC">
        <w:rPr>
          <w:color w:val="404040"/>
        </w:rPr>
        <w:t>Wie is de marktdeelnemer in het geval van niet-gevelde bomen of kaprechten?</w:t>
      </w:r>
    </w:p>
    <w:p w14:paraId="3BE490AE" w14:textId="77777777" w:rsidR="00933051" w:rsidRPr="008733AC" w:rsidRDefault="00000000" w:rsidP="00933051">
      <w:pPr>
        <w:pStyle w:val="Plattetekst"/>
        <w:ind w:right="161"/>
        <w:rPr>
          <w:color w:val="404040"/>
        </w:rPr>
      </w:pPr>
      <w:r w:rsidRPr="008733AC">
        <w:rPr>
          <w:color w:val="404040"/>
        </w:rPr>
        <w:t>Niet-gevelde bomen als zodanig vallen niet onder het toepassingsgebied van de Verordening. Afhankelijk van de gedetailleerde contractuele bepalingen kan de 'marktdeelnemer' op het moment van het vellen ofwel de boseigenaar zijn of het bedrijf dat de kaprechten heeft op de relevante producten, afhankelijk van wie het relevante product in de handel brengt of uitvoert.</w:t>
      </w:r>
      <w:r w:rsidR="00933051" w:rsidRPr="008733AC">
        <w:rPr>
          <w:color w:val="404040"/>
        </w:rPr>
        <w:t xml:space="preserve"> </w:t>
      </w:r>
    </w:p>
    <w:p w14:paraId="3CECB0A7" w14:textId="1E86FEAA" w:rsidR="002B78A6" w:rsidRPr="008733AC" w:rsidRDefault="002133AA" w:rsidP="00933051">
      <w:pPr>
        <w:pStyle w:val="Plattetekst"/>
        <w:ind w:right="161"/>
        <w:jc w:val="center"/>
        <w:rPr>
          <w:color w:val="404040"/>
        </w:rPr>
      </w:pPr>
      <w:r w:rsidRPr="008733AC">
        <w:rPr>
          <w:color w:val="404040"/>
        </w:rPr>
        <w:t>°°0°°</w:t>
      </w:r>
    </w:p>
    <w:p w14:paraId="78AFB680" w14:textId="5BC7F12A" w:rsidR="002B78A6" w:rsidRPr="008733AC" w:rsidRDefault="00000000" w:rsidP="002133AA">
      <w:pPr>
        <w:pStyle w:val="Kop1"/>
      </w:pPr>
      <w:r w:rsidRPr="008733AC">
        <w:rPr>
          <w:color w:val="404040"/>
        </w:rPr>
        <w:t>Definities</w:t>
      </w:r>
    </w:p>
    <w:p w14:paraId="037BD612" w14:textId="77777777" w:rsidR="002B78A6" w:rsidRPr="008733AC" w:rsidRDefault="00000000">
      <w:pPr>
        <w:pStyle w:val="Plattetekst"/>
        <w:ind w:right="157"/>
      </w:pPr>
      <w:r w:rsidRPr="008733AC">
        <w:rPr>
          <w:color w:val="404040"/>
        </w:rPr>
        <w:t>Deze definities vormen de basis voor de verplichtingen voor bedrijven en belanghebbenden in derde landen die commerciële betrekkingen met de EU hebben, en voor de bevoegde autoriteiten van de EU.</w:t>
      </w:r>
    </w:p>
    <w:p w14:paraId="40D023A4" w14:textId="77777777" w:rsidR="002B78A6" w:rsidRPr="008733AC" w:rsidRDefault="00000000">
      <w:pPr>
        <w:pStyle w:val="Kop3"/>
        <w:numPr>
          <w:ilvl w:val="0"/>
          <w:numId w:val="2"/>
        </w:numPr>
        <w:tabs>
          <w:tab w:val="left" w:pos="820"/>
        </w:tabs>
        <w:ind w:left="820" w:hanging="720"/>
      </w:pPr>
      <w:bookmarkStart w:id="44" w:name="_bookmark46"/>
      <w:bookmarkEnd w:id="44"/>
      <w:r w:rsidRPr="008733AC">
        <w:rPr>
          <w:color w:val="404040"/>
        </w:rPr>
        <w:t>Wat betekent 'wereldwijde ontbossing'?</w:t>
      </w:r>
    </w:p>
    <w:p w14:paraId="0BF41FC6" w14:textId="77777777" w:rsidR="002B78A6" w:rsidRPr="008733AC" w:rsidRDefault="00000000">
      <w:pPr>
        <w:pStyle w:val="Plattetekst"/>
        <w:ind w:right="164"/>
      </w:pPr>
      <w:r w:rsidRPr="008733AC">
        <w:rPr>
          <w:color w:val="404040"/>
        </w:rPr>
        <w:t>Onder 'wereldwijde ontbossing' wordt ontbossing verstaan die over de hele wereld plaatsvindt (zowel in de EU als daarbuiten) volgens de definitie van artikel 2 (nl. de omzetting van bos naar landbouwgebruik, ongeacht of deze wordt veroorzaakt door de mens).</w:t>
      </w:r>
    </w:p>
    <w:p w14:paraId="2F73B690" w14:textId="77777777" w:rsidR="002B78A6" w:rsidRPr="008733AC" w:rsidRDefault="00000000">
      <w:pPr>
        <w:pStyle w:val="Plattetekst"/>
        <w:spacing w:before="242"/>
        <w:ind w:right="164"/>
      </w:pPr>
      <w:r w:rsidRPr="008733AC">
        <w:rPr>
          <w:color w:val="404040"/>
        </w:rPr>
        <w:t>Ontbossing en bosdegradatie behoren tot de belangrijke aanjagers van de opwarming van de aarde en het biodiversiteitsverlies — de twee belangrijkste milieuproblemen van onze tijd.</w:t>
      </w:r>
    </w:p>
    <w:p w14:paraId="052F7EAB" w14:textId="77777777" w:rsidR="002B78A6" w:rsidRPr="008733AC" w:rsidRDefault="00000000">
      <w:pPr>
        <w:pStyle w:val="Plattetekst"/>
        <w:ind w:right="155"/>
      </w:pPr>
      <w:r w:rsidRPr="008733AC">
        <w:rPr>
          <w:color w:val="404040"/>
        </w:rPr>
        <w:t>De belangrijkste oorzaak van ontbossing en bosdegradatie wereldwijd is de uitbreiding van landbouwgrond voor de productie van basisproducten zoals soja, rundvlees, palmolie, hout, cacao, rubber of koffie. Als belangrijke economie en consument van deze grondstoffen draagt de EU bij aan ontbossing en bosdegradatie wereldwijd. De EU heeft daarom de verantwoordelijkheid om bij te dragen aan de beëindiging ervan.</w:t>
      </w:r>
    </w:p>
    <w:p w14:paraId="0A1B1D1F" w14:textId="77777777" w:rsidR="002B78A6" w:rsidRPr="008733AC" w:rsidRDefault="00000000">
      <w:pPr>
        <w:pStyle w:val="Plattetekst"/>
        <w:spacing w:before="239"/>
        <w:ind w:right="155"/>
        <w:rPr>
          <w:color w:val="404040"/>
        </w:rPr>
      </w:pPr>
      <w:r w:rsidRPr="008733AC">
        <w:rPr>
          <w:color w:val="404040"/>
        </w:rPr>
        <w:t>Door de productie en consumptie van 'ontbossingsvrije' grondstoffen en producten te bevorderen en de impact van de EU op de wereldwijde ontbossing en bosdegradatie te verminderen, zal de Verordening naar verwachting de door de EU veroorzaakte broeikasgasemissies en het biodiversiteitsverlies terugdringen.</w:t>
      </w:r>
    </w:p>
    <w:p w14:paraId="75B974D6" w14:textId="77777777" w:rsidR="00CE6172" w:rsidRPr="008733AC" w:rsidRDefault="00CE6172">
      <w:pPr>
        <w:pStyle w:val="Plattetekst"/>
        <w:spacing w:before="239"/>
        <w:ind w:right="155"/>
      </w:pPr>
    </w:p>
    <w:p w14:paraId="4D38EE2D" w14:textId="77777777" w:rsidR="002B78A6" w:rsidRPr="008733AC" w:rsidRDefault="00000000">
      <w:pPr>
        <w:pStyle w:val="Kop3"/>
        <w:numPr>
          <w:ilvl w:val="0"/>
          <w:numId w:val="2"/>
        </w:numPr>
        <w:tabs>
          <w:tab w:val="left" w:pos="820"/>
        </w:tabs>
        <w:ind w:left="820" w:hanging="720"/>
      </w:pPr>
      <w:bookmarkStart w:id="45" w:name="_bookmark47"/>
      <w:bookmarkEnd w:id="45"/>
      <w:r w:rsidRPr="008733AC">
        <w:rPr>
          <w:color w:val="404040"/>
        </w:rPr>
        <w:lastRenderedPageBreak/>
        <w:t>Aan welke criteria moet hout voldoen?</w:t>
      </w:r>
    </w:p>
    <w:p w14:paraId="1C160BDE" w14:textId="77777777" w:rsidR="002B78A6" w:rsidRPr="008733AC" w:rsidRDefault="00000000">
      <w:pPr>
        <w:spacing w:before="239"/>
        <w:ind w:left="100" w:right="156"/>
        <w:jc w:val="both"/>
        <w:rPr>
          <w:b/>
          <w:sz w:val="24"/>
        </w:rPr>
      </w:pPr>
      <w:r w:rsidRPr="008733AC">
        <w:rPr>
          <w:b/>
          <w:color w:val="404040"/>
          <w:sz w:val="24"/>
        </w:rPr>
        <w:t>De formulering van de definitie van ontbossingsvrij in Art. 2, lid 13(b) ("in het geval van relevante producten die hout bevatten of ermee zijn vervaardigd, …") sluit hout uit van de producttoepassingsgebied, wat de indruk wekt van een 'bijzonder geval' en vragen doet rijzen over de toepasbaarheid van het 'ontbossingsvrij'-criterium van artikel 3(a) op hout. Moet hout voldoen aan beide criteria, met betrekking tot ontbossing en bosdegradatie, of alleen aan die betreffende bosdegradatie?</w:t>
      </w:r>
    </w:p>
    <w:p w14:paraId="14D1FD1F" w14:textId="77777777" w:rsidR="002B78A6" w:rsidRPr="008733AC" w:rsidRDefault="00000000">
      <w:pPr>
        <w:pStyle w:val="Plattetekst"/>
        <w:spacing w:before="242"/>
        <w:ind w:right="156"/>
        <w:rPr>
          <w:color w:val="404040"/>
        </w:rPr>
      </w:pPr>
      <w:r w:rsidRPr="008733AC">
        <w:rPr>
          <w:color w:val="404040"/>
        </w:rPr>
        <w:t>Om aan de eisen van de Verordening te voldoen, moet hout aan beide criteria voldoen: a) het moet gekapt zijn op land waar geen ontbossing plaatsvindt na 31 december 2020; en b) het moet gekapt zijn zonder dat er sprake is van bosdegradatie na 31 december 2020.</w:t>
      </w:r>
    </w:p>
    <w:p w14:paraId="429E26C6" w14:textId="77777777" w:rsidR="00933051" w:rsidRPr="008733AC" w:rsidRDefault="00933051">
      <w:pPr>
        <w:pStyle w:val="Plattetekst"/>
        <w:spacing w:before="242"/>
        <w:ind w:right="156"/>
        <w:rPr>
          <w:color w:val="404040"/>
        </w:rPr>
      </w:pPr>
    </w:p>
    <w:p w14:paraId="29034C41" w14:textId="77777777" w:rsidR="002B78A6" w:rsidRPr="008733AC" w:rsidRDefault="00000000">
      <w:pPr>
        <w:pStyle w:val="Kop3"/>
        <w:numPr>
          <w:ilvl w:val="0"/>
          <w:numId w:val="2"/>
        </w:numPr>
        <w:tabs>
          <w:tab w:val="left" w:pos="820"/>
        </w:tabs>
        <w:spacing w:before="41"/>
        <w:ind w:left="820" w:hanging="720"/>
      </w:pPr>
      <w:bookmarkStart w:id="46" w:name="_bookmark48"/>
      <w:bookmarkEnd w:id="46"/>
      <w:r w:rsidRPr="008733AC">
        <w:rPr>
          <w:color w:val="404040"/>
        </w:rPr>
        <w:t>Wat zijn de toegestane houtkapniveaus?</w:t>
      </w:r>
    </w:p>
    <w:p w14:paraId="7E911F71" w14:textId="77777777" w:rsidR="002B78A6" w:rsidRPr="008733AC" w:rsidRDefault="00000000">
      <w:pPr>
        <w:spacing w:before="240"/>
        <w:ind w:left="100" w:right="152"/>
        <w:jc w:val="both"/>
        <w:rPr>
          <w:b/>
          <w:sz w:val="24"/>
        </w:rPr>
      </w:pPr>
      <w:r w:rsidRPr="008733AC">
        <w:rPr>
          <w:b/>
          <w:color w:val="404040"/>
          <w:sz w:val="24"/>
        </w:rPr>
        <w:t>Als een marktdeelnemer in de houtsector in 2022 20% van een bos met 100% bedekking velt en het land op natuurlijke wijze laat regenereren, is het gekapte hout dan conform? Kan over 30 jaar, wanneer het bos is hersteld, dezelfde operatie worden uitgevoerd met dezelfde conclusie inzake de naleving van de EUDR?</w:t>
      </w:r>
    </w:p>
    <w:p w14:paraId="20703D58" w14:textId="77777777" w:rsidR="002B78A6" w:rsidRPr="008733AC" w:rsidRDefault="00000000">
      <w:pPr>
        <w:pStyle w:val="Plattetekst"/>
        <w:spacing w:before="239"/>
        <w:ind w:right="158"/>
      </w:pPr>
      <w:r w:rsidRPr="008733AC">
        <w:rPr>
          <w:color w:val="404040"/>
        </w:rPr>
        <w:t>In de Verordening wordt onder 'bosdegradatie' verstaan: "structurele veranderingen in bosbedekking, in de vorm van omzetting van oerbossen of natuurlijk herstellende bossen naar bosplantages of naar andere beboste gronden, of oerbossen naar aangeplante bossen" (artikel 2, lid 7).</w:t>
      </w:r>
    </w:p>
    <w:p w14:paraId="0CEE2639" w14:textId="77777777" w:rsidR="002B78A6" w:rsidRPr="008733AC" w:rsidRDefault="00000000">
      <w:pPr>
        <w:pStyle w:val="Plattetekst"/>
        <w:spacing w:before="242"/>
        <w:ind w:right="163"/>
      </w:pPr>
      <w:r w:rsidRPr="008733AC">
        <w:rPr>
          <w:color w:val="404040"/>
        </w:rPr>
        <w:t>Deze definitie omvat alle categorieën bos zoals gedefinieerd door de Voedsel- en Landbouworganisatie van de Verenigde Naties. Daarom bestaat bosdegradatie onder de Verordening uit het omvormen van bepaalde soorten bossen tot andere soorten bossen of andere beboste gebieden.</w:t>
      </w:r>
    </w:p>
    <w:p w14:paraId="273D169A" w14:textId="77777777" w:rsidR="002B78A6" w:rsidRPr="008733AC" w:rsidRDefault="00000000">
      <w:pPr>
        <w:pStyle w:val="Plattetekst"/>
        <w:ind w:right="164"/>
      </w:pPr>
      <w:r w:rsidRPr="008733AC">
        <w:rPr>
          <w:color w:val="404040"/>
        </w:rPr>
        <w:t>Verschillende niveaus van houtkap zijn toegestaan, op voorwaarde dat dit niet leidt tot een transformatie die onder de definitie van degradatie valt.</w:t>
      </w:r>
    </w:p>
    <w:p w14:paraId="6D98C6C4" w14:textId="77777777" w:rsidR="002B78A6" w:rsidRPr="008733AC" w:rsidRDefault="00000000">
      <w:pPr>
        <w:pStyle w:val="Kop3"/>
        <w:numPr>
          <w:ilvl w:val="0"/>
          <w:numId w:val="2"/>
        </w:numPr>
        <w:tabs>
          <w:tab w:val="left" w:pos="820"/>
        </w:tabs>
        <w:ind w:left="820" w:hanging="720"/>
      </w:pPr>
      <w:bookmarkStart w:id="47" w:name="_bookmark49"/>
      <w:bookmarkEnd w:id="47"/>
      <w:r w:rsidRPr="008733AC">
        <w:rPr>
          <w:color w:val="404040"/>
        </w:rPr>
        <w:t>Zal 'bosdegradatie' een invloed hebben op bestaande systemen voor duurzaam bosbeheer?</w:t>
      </w:r>
    </w:p>
    <w:p w14:paraId="190E4F95" w14:textId="77777777" w:rsidR="002B78A6" w:rsidRPr="008733AC" w:rsidRDefault="00000000">
      <w:pPr>
        <w:pStyle w:val="Plattetekst"/>
        <w:spacing w:before="239"/>
        <w:ind w:right="161"/>
      </w:pPr>
      <w:r w:rsidRPr="008733AC">
        <w:rPr>
          <w:color w:val="404040"/>
        </w:rPr>
        <w:t>Bosdegradatie onder de Verordening verwijst naar het omvormen van bepaalde soorten bossen tot andere soorten bossen of andere beboste gebieden. Duurzame bosbeheersystemen kunnen worden toegepast en aangemoedigd, op voorwaarde dat ze niet leiden tot een omvorming die voldoet aan de definitie van degradatie.</w:t>
      </w:r>
    </w:p>
    <w:p w14:paraId="550FBCB4" w14:textId="77777777" w:rsidR="002B78A6" w:rsidRPr="008733AC" w:rsidRDefault="00000000">
      <w:pPr>
        <w:pStyle w:val="Kop3"/>
        <w:numPr>
          <w:ilvl w:val="0"/>
          <w:numId w:val="2"/>
        </w:numPr>
        <w:tabs>
          <w:tab w:val="left" w:pos="820"/>
        </w:tabs>
        <w:ind w:left="820" w:hanging="720"/>
      </w:pPr>
      <w:bookmarkStart w:id="48" w:name="_bookmark50"/>
      <w:bookmarkEnd w:id="48"/>
      <w:r w:rsidRPr="008733AC">
        <w:rPr>
          <w:color w:val="404040"/>
        </w:rPr>
        <w:t>Hoe 'bomen die deze drempels op de groeiplaats kunnen bereiken' toe te passen?</w:t>
      </w:r>
    </w:p>
    <w:p w14:paraId="57C71A5C" w14:textId="77777777" w:rsidR="002B78A6" w:rsidRPr="008733AC" w:rsidRDefault="00000000">
      <w:pPr>
        <w:spacing w:before="240"/>
        <w:ind w:left="100"/>
        <w:jc w:val="both"/>
        <w:rPr>
          <w:b/>
          <w:sz w:val="24"/>
        </w:rPr>
      </w:pPr>
      <w:r w:rsidRPr="008733AC">
        <w:rPr>
          <w:b/>
          <w:color w:val="404040"/>
          <w:sz w:val="24"/>
        </w:rPr>
        <w:t>Hoe moeten we de bepaling 'bomen die deze drempels op de groeiplaats kunnen bereiken' met betrekking tot</w:t>
      </w:r>
    </w:p>
    <w:p w14:paraId="0C4B1484" w14:textId="77777777" w:rsidR="002B78A6" w:rsidRPr="008733AC" w:rsidRDefault="00000000">
      <w:pPr>
        <w:spacing w:before="2"/>
        <w:ind w:left="100"/>
        <w:jc w:val="both"/>
        <w:rPr>
          <w:b/>
          <w:sz w:val="24"/>
        </w:rPr>
      </w:pPr>
      <w:r w:rsidRPr="008733AC">
        <w:rPr>
          <w:b/>
          <w:color w:val="404040"/>
          <w:sz w:val="24"/>
        </w:rPr>
        <w:t>tophoogte en kroonbedekking in de definitie van bos in artikel 2, lid 4 toepassen?</w:t>
      </w:r>
    </w:p>
    <w:p w14:paraId="375EBE4E" w14:textId="77777777" w:rsidR="002B78A6" w:rsidRPr="008733AC" w:rsidRDefault="00000000">
      <w:pPr>
        <w:pStyle w:val="Plattetekst"/>
        <w:ind w:right="165"/>
      </w:pPr>
      <w:r w:rsidRPr="008733AC">
        <w:rPr>
          <w:color w:val="404040"/>
        </w:rPr>
        <w:t xml:space="preserve">Als de houtachtige vegetatie meer dan 10% kroonbedekking heeft of naar verwachting zal hebben van boomsoorten met een hoogte of verwachte hoogte van 5 m of meer, moet het </w:t>
      </w:r>
      <w:r w:rsidRPr="008733AC">
        <w:rPr>
          <w:color w:val="404040"/>
        </w:rPr>
        <w:lastRenderedPageBreak/>
        <w:t>worden geclassificeerd als 'bos', op basis van de FAO-definitie. Bijv. jonge opstanden die nog geen kroondichtheid van 10 procent en een boomhoogte van 5 m hebben bereikt, maar naar verwachting zullen bereiken, worden opgenomen onder bos, net als tijdelijk onbebouwde gebieden waarbij het overheersende gebruik van het gebied bos blijft.</w:t>
      </w:r>
    </w:p>
    <w:p w14:paraId="48B79293" w14:textId="77777777" w:rsidR="002B78A6" w:rsidRPr="008733AC" w:rsidRDefault="00000000">
      <w:pPr>
        <w:pStyle w:val="Kop3"/>
        <w:numPr>
          <w:ilvl w:val="0"/>
          <w:numId w:val="2"/>
        </w:numPr>
        <w:tabs>
          <w:tab w:val="left" w:pos="820"/>
        </w:tabs>
        <w:spacing w:before="239"/>
        <w:ind w:left="820" w:hanging="720"/>
      </w:pPr>
      <w:bookmarkStart w:id="49" w:name="_bookmark51"/>
      <w:bookmarkEnd w:id="49"/>
      <w:r w:rsidRPr="008733AC">
        <w:rPr>
          <w:color w:val="404040"/>
        </w:rPr>
        <w:t>Welke landgebruikverandering van bos is conform de Verordening?</w:t>
      </w:r>
    </w:p>
    <w:p w14:paraId="457EDBE2" w14:textId="77777777" w:rsidR="002B78A6" w:rsidRPr="008733AC" w:rsidRDefault="00000000">
      <w:pPr>
        <w:spacing w:before="240"/>
        <w:ind w:left="100" w:right="153"/>
        <w:jc w:val="both"/>
        <w:rPr>
          <w:b/>
          <w:sz w:val="24"/>
        </w:rPr>
      </w:pPr>
      <w:r w:rsidRPr="008733AC">
        <w:rPr>
          <w:b/>
          <w:color w:val="404040"/>
          <w:sz w:val="24"/>
        </w:rPr>
        <w:t>Ontbossing wordt in artikel 2, lid 3 gedefinieerd als "omzetting van bos naar landbouwgebruik". Is elke andere verandering in bosgebruik in overeenstemming met de Verordening?</w:t>
      </w:r>
    </w:p>
    <w:p w14:paraId="2219504D" w14:textId="7A7D01F9" w:rsidR="002133AA" w:rsidRPr="008733AC" w:rsidRDefault="00000000" w:rsidP="002133AA">
      <w:pPr>
        <w:pStyle w:val="Plattetekst"/>
        <w:ind w:right="159"/>
        <w:rPr>
          <w:color w:val="404040"/>
        </w:rPr>
      </w:pPr>
      <w:r w:rsidRPr="008733AC">
        <w:rPr>
          <w:color w:val="404040"/>
        </w:rPr>
        <w:t>Ontbossing wordt in de Verordening gedefinieerd als de omzetting van bos naar landbouwgebruik. Omzetting voor andere doeleinden, zoals stedelijke ontwikkeling of infrastructuur, valt niet onder de definitie van ontbossing. Hout uit een bosgebied dat legaal is gekapt om een weg aan te leggen, zou bijvoorbeeld voldoen aan de Verordening.</w:t>
      </w:r>
      <w:bookmarkStart w:id="50" w:name="_bookmark52"/>
      <w:bookmarkEnd w:id="50"/>
    </w:p>
    <w:p w14:paraId="1976A6F3" w14:textId="77777777" w:rsidR="00933051" w:rsidRPr="008733AC" w:rsidRDefault="00933051" w:rsidP="00933051">
      <w:pPr>
        <w:pStyle w:val="Plattetekst"/>
        <w:spacing w:before="0"/>
        <w:ind w:right="159"/>
        <w:rPr>
          <w:color w:val="404040"/>
        </w:rPr>
      </w:pPr>
    </w:p>
    <w:p w14:paraId="016E0A40" w14:textId="77777777" w:rsidR="002B78A6" w:rsidRPr="008733AC" w:rsidRDefault="00000000">
      <w:pPr>
        <w:pStyle w:val="Kop3"/>
        <w:numPr>
          <w:ilvl w:val="0"/>
          <w:numId w:val="2"/>
        </w:numPr>
        <w:tabs>
          <w:tab w:val="left" w:pos="820"/>
        </w:tabs>
        <w:spacing w:before="41"/>
        <w:ind w:left="820" w:hanging="720"/>
      </w:pPr>
      <w:r w:rsidRPr="008733AC">
        <w:rPr>
          <w:color w:val="404040"/>
        </w:rPr>
        <w:t>Zou een natuurramp gelden als ontbossing?</w:t>
      </w:r>
    </w:p>
    <w:p w14:paraId="758BD7AB" w14:textId="77777777" w:rsidR="002B78A6" w:rsidRPr="008733AC" w:rsidRDefault="00000000">
      <w:pPr>
        <w:pStyle w:val="Plattetekst"/>
        <w:ind w:right="154"/>
      </w:pPr>
      <w:r w:rsidRPr="008733AC">
        <w:rPr>
          <w:color w:val="404040"/>
        </w:rPr>
        <w:t>De definitie van "ontbossing" in de Verordening omvat de al dan niet door de mens veroorzaakte omzetting van bos voor landbouwdoeleinden, met inbegrip van situaties die het gevolg zijn van natuurrampen. Een bos dat is afgebrand en vervolgens (na de afsluitingsdatum) wordt omgezet in landbouwgrond, wordt onder de Verordening als ontbossing beschouwd. In dit specifieke geval zou het voor een marktdeelnemer verboden zijn om grondstoffen die binnen het toepassingsgebied van de Verordening vallen, uit dat gebied in te kopen (maar niet vanwege de bosbrand). Omgekeerd, als het aangetaste bos de kans krijgt om te regenereren, wordt het niet als ontbossing beschouwd en kan een marktdeelnemer hout uit dat bos inkopen zodra het opnieuw is aangegroeid.</w:t>
      </w:r>
    </w:p>
    <w:p w14:paraId="10DDB196" w14:textId="77777777" w:rsidR="002B78A6" w:rsidRPr="008733AC" w:rsidRDefault="00000000">
      <w:pPr>
        <w:pStyle w:val="Kop3"/>
        <w:numPr>
          <w:ilvl w:val="0"/>
          <w:numId w:val="2"/>
        </w:numPr>
        <w:tabs>
          <w:tab w:val="left" w:pos="820"/>
        </w:tabs>
        <w:spacing w:before="241"/>
        <w:ind w:left="820" w:hanging="720"/>
      </w:pPr>
      <w:bookmarkStart w:id="51" w:name="_bookmark53"/>
      <w:bookmarkEnd w:id="51"/>
      <w:r w:rsidRPr="008733AC">
        <w:rPr>
          <w:color w:val="404040"/>
        </w:rPr>
        <w:t>Worden 'andere beboste gebieden' of andere ecosystemen ook opgenomen?</w:t>
      </w:r>
    </w:p>
    <w:p w14:paraId="23F28D41" w14:textId="77777777" w:rsidR="002B78A6" w:rsidRPr="008733AC" w:rsidRDefault="00000000">
      <w:pPr>
        <w:pStyle w:val="Plattetekst"/>
        <w:ind w:right="154"/>
      </w:pPr>
      <w:r w:rsidRPr="008733AC">
        <w:rPr>
          <w:color w:val="404040"/>
        </w:rPr>
        <w:t>De Verordening is gebaseerd op de definitie van "bos" van de Voedsel- en Landbouworganisatie van de Verenigde Naties. Dit omvat vier miljard hectare bos – het grootste deel van het bewoonbare landoppervlak dat nog niet in gebruik is door de landbouw – en omvat gebieden die in nationale wetten zijn gedefinieerd als savannes, wetlands en andere waardevolle ecosystemen.</w:t>
      </w:r>
    </w:p>
    <w:p w14:paraId="2B21AE36" w14:textId="77777777" w:rsidR="002B78A6" w:rsidRPr="008733AC" w:rsidRDefault="00000000">
      <w:pPr>
        <w:pStyle w:val="Plattetekst"/>
        <w:ind w:right="156"/>
      </w:pPr>
      <w:r w:rsidRPr="008733AC">
        <w:rPr>
          <w:color w:val="404040"/>
        </w:rPr>
        <w:t>Bij de eerste herziening van de Verordening, die binnen een jaar na de inwerkingtreding moet plaatsvinden, zal het effect van een verdere uitbreiding van het toepassingsgebied tot 'andere beboste gebieden' worden beoordeeld. Bij de tweede herziening, die binnen twee jaar na de inwerkingtreding van de Verordening moet plaatsvinden, zal het effect van een verdere uitbreiding van het toepassingsgebied verder dan 'bos' en 'andere beboste gebieden' worden beoordeeld.</w:t>
      </w:r>
    </w:p>
    <w:p w14:paraId="64CF9D20" w14:textId="77777777" w:rsidR="002133AA" w:rsidRPr="008733AC" w:rsidRDefault="00000000" w:rsidP="002133AA">
      <w:pPr>
        <w:pStyle w:val="Plattetekst"/>
        <w:spacing w:before="239"/>
        <w:ind w:right="162"/>
        <w:rPr>
          <w:color w:val="404040"/>
        </w:rPr>
      </w:pPr>
      <w:r w:rsidRPr="008733AC">
        <w:rPr>
          <w:color w:val="404040"/>
        </w:rPr>
        <w:t>De omzetting van oerbos of natuurlijk regenererend bos naar plantagebossen of andere beboste gebieden maakt al deel uit van de definitie van 'bosdegradatie', en houtproducten afkomstig van dergelijk omgezet land mogen niet in de handel gebracht of uitgevoerd worden.</w:t>
      </w:r>
    </w:p>
    <w:p w14:paraId="452DB1C5" w14:textId="04E1C858" w:rsidR="002B78A6" w:rsidRPr="008733AC" w:rsidRDefault="002133AA" w:rsidP="002133AA">
      <w:pPr>
        <w:pStyle w:val="Plattetekst"/>
        <w:spacing w:before="239"/>
        <w:ind w:right="162"/>
        <w:jc w:val="center"/>
        <w:rPr>
          <w:sz w:val="32"/>
        </w:rPr>
      </w:pPr>
      <w:r w:rsidRPr="008733AC">
        <w:rPr>
          <w:color w:val="404040"/>
        </w:rPr>
        <w:t>°°0°°</w:t>
      </w:r>
    </w:p>
    <w:p w14:paraId="5FBD5CBA" w14:textId="322D425E" w:rsidR="002B78A6" w:rsidRPr="008733AC" w:rsidRDefault="00000000" w:rsidP="002133AA">
      <w:pPr>
        <w:pStyle w:val="Kop1"/>
        <w:ind w:right="-449"/>
      </w:pPr>
      <w:bookmarkStart w:id="52" w:name="_bookmark54"/>
      <w:bookmarkEnd w:id="52"/>
      <w:r w:rsidRPr="008733AC">
        <w:rPr>
          <w:color w:val="404040"/>
        </w:rPr>
        <w:lastRenderedPageBreak/>
        <w:t>Zorgvuldigheid</w:t>
      </w:r>
    </w:p>
    <w:p w14:paraId="2347242D" w14:textId="77777777" w:rsidR="002B78A6" w:rsidRPr="008733AC" w:rsidRDefault="00000000">
      <w:pPr>
        <w:pStyle w:val="Kop3"/>
        <w:numPr>
          <w:ilvl w:val="0"/>
          <w:numId w:val="2"/>
        </w:numPr>
        <w:tabs>
          <w:tab w:val="left" w:pos="820"/>
        </w:tabs>
        <w:spacing w:before="238"/>
        <w:ind w:left="820" w:hanging="720"/>
      </w:pPr>
      <w:bookmarkStart w:id="53" w:name="_bookmark55"/>
      <w:bookmarkEnd w:id="53"/>
      <w:r w:rsidRPr="008733AC">
        <w:rPr>
          <w:color w:val="404040"/>
        </w:rPr>
        <w:t>Wat zijn mijn verplichtingen als EU-marktdeelnemer?</w:t>
      </w:r>
    </w:p>
    <w:p w14:paraId="7B43A6CA" w14:textId="77777777" w:rsidR="002B78A6" w:rsidRPr="008733AC" w:rsidRDefault="00000000">
      <w:pPr>
        <w:pStyle w:val="Plattetekst"/>
        <w:ind w:right="160"/>
      </w:pPr>
      <w:r w:rsidRPr="008733AC">
        <w:rPr>
          <w:color w:val="404040"/>
        </w:rPr>
        <w:t>Als algemene regel geldt dat marktdeelnemers (en niet-kmo-handelaren) een stelsel van zorgvuldigheidseisen moeten opzetten en bijhouden, dat uit drie stappen bestaat.</w:t>
      </w:r>
    </w:p>
    <w:p w14:paraId="55DCF304" w14:textId="77777777" w:rsidR="002133AA" w:rsidRPr="008733AC" w:rsidRDefault="00000000" w:rsidP="002133AA">
      <w:pPr>
        <w:pStyle w:val="Plattetekst"/>
        <w:spacing w:before="242"/>
        <w:ind w:right="154"/>
        <w:rPr>
          <w:color w:val="404040"/>
        </w:rPr>
      </w:pPr>
      <w:r w:rsidRPr="008733AC">
        <w:rPr>
          <w:color w:val="404040"/>
        </w:rPr>
        <w:t>Als eerste stap moeten ze de informatie verzamelen waarnaar in artikel 9 wordt verwezen, zoals de grondstof of het product dat ze in de handel willen brengen (of op de markt willen aanbieden in het geval van niet-kmo-handelaren) of willen uitvoeren, inclusief onder de douaneregelingen 'in het vrije verkeer brengen' en 'uitvoeren', evenals de respectieve hoeveelheid, de leverancier, het land van productie, het bewijs van legale oogst, enzovoort. Een belangrijke vereiste in deze stap is het verkrijgen van de geografische coördinaten van de percelen waar de relevante grondstof is geproduceerd en het verstrekken van relevante informatie – product, GN-code, hoeveelheid, land van productie, geolocatiecoördinaten – in de zorgvuldigheidsverklaring die via het informatiesysteem moet worden ingediend. Als de marktdeelnemer (of niet-kmo-handelaren) de vereiste informatie niet kan verzamelen, moet hij afzien van het in de handel brengen (of op de markt aanbieden in het geval van niet-kmo-handelaren) of uitvoeren van het betreffende product. Gebeurt dit niet, is er sprake van een inbreuk op de Verordening, wat kan leiden tot sancties.</w:t>
      </w:r>
    </w:p>
    <w:p w14:paraId="5B2449C1" w14:textId="77777777" w:rsidR="002B78A6" w:rsidRPr="008733AC" w:rsidRDefault="00000000">
      <w:pPr>
        <w:pStyle w:val="Plattetekst"/>
        <w:spacing w:before="41"/>
        <w:ind w:right="158"/>
      </w:pPr>
      <w:r w:rsidRPr="008733AC">
        <w:rPr>
          <w:color w:val="404040"/>
        </w:rPr>
        <w:t>Als de marktdeelnemer (of niet-kmo-handelaren) de vereiste informatie niet kan verzamelen, moet hij afzien van het in de Uniemarkt in de handel brengen of uitvoeren van het betreffende product. Gebeurt dit niet, is er sprake van een inbreuk op de Verordening, wat kan leiden tot mogelijke sancties.</w:t>
      </w:r>
    </w:p>
    <w:p w14:paraId="1A2E530C" w14:textId="77777777" w:rsidR="002B78A6" w:rsidRPr="008733AC" w:rsidRDefault="00000000">
      <w:pPr>
        <w:pStyle w:val="Plattetekst"/>
        <w:ind w:right="154"/>
      </w:pPr>
      <w:r w:rsidRPr="008733AC">
        <w:rPr>
          <w:color w:val="404040"/>
        </w:rPr>
        <w:t>Bij de tweede stap moeten bedrijven de informatie die ze bij de eerste stap hebben verzameld, invoeren in de risicobeoordelingspijler van hun stelsel van zorgvuldigheidseisen om het risico dat niet-conforme producten in de toeleveringsketen terechtkomen, te verifiëren en te evalueren, rekening houdend met de in artikel 10 beschreven criteria. Marktdeelnemers moeten aantonen hoe de verzamelde informatie is getoetst aan de risicobeoordelingscriteria en hoe ze het risico hebben bepaald.</w:t>
      </w:r>
    </w:p>
    <w:p w14:paraId="7E34B658" w14:textId="77777777" w:rsidR="002B78A6" w:rsidRPr="008733AC" w:rsidRDefault="00000000">
      <w:pPr>
        <w:pStyle w:val="Plattetekst"/>
        <w:spacing w:before="241"/>
        <w:ind w:right="156"/>
      </w:pPr>
      <w:r w:rsidRPr="008733AC">
        <w:rPr>
          <w:color w:val="404040"/>
        </w:rPr>
        <w:t>Bij stap drie moeten ze adequate en evenredige risicobeperkende maatregelen nemen als ze bij stap twee meer dan een verwaarloosbaar risico op niet-naleving vaststellen, om ervoor te zorgen dat het risico verwaarloosbaar wordt, rekening houdend met de in artikel 11 beschreven criteria. Deze maatregelen moeten worden gedocumenteerd.</w:t>
      </w:r>
    </w:p>
    <w:p w14:paraId="474436A5" w14:textId="77777777" w:rsidR="002B78A6" w:rsidRPr="008733AC" w:rsidRDefault="00000000">
      <w:pPr>
        <w:pStyle w:val="Plattetekst"/>
        <w:ind w:right="158"/>
      </w:pPr>
      <w:r w:rsidRPr="008733AC">
        <w:rPr>
          <w:color w:val="404040"/>
        </w:rPr>
        <w:t>Voor marktdeelnemers die grondstoffen volledig inkopen uit gebieden die als laag risico zijn geclassificeerd, gelden vereenvoudigde zorgvuldigheidsverplichtingen. Volgens artikel 13 moeten zij informatie verzamelen overeenkomstig artikel 9, maar zijn zij niet verplicht risico's te beoordelen en te beperken (artikelen 10 en 11) tenzij de marktdeelnemer relevante informatie verkrijgt of er kennis van krijgt, met inbegrip van concrete aanwijzingen die overeenkomstig artikel 31 worden ingediend, die erop zou kunnen wijzen dat de relevante producten niet aan deze Verordening voldoen (artikel 13, lid 2).</w:t>
      </w:r>
    </w:p>
    <w:p w14:paraId="1EF12858" w14:textId="77777777" w:rsidR="002B78A6" w:rsidRPr="008733AC" w:rsidRDefault="00000000">
      <w:pPr>
        <w:pStyle w:val="Kop3"/>
        <w:numPr>
          <w:ilvl w:val="0"/>
          <w:numId w:val="2"/>
        </w:numPr>
        <w:tabs>
          <w:tab w:val="left" w:pos="820"/>
        </w:tabs>
        <w:spacing w:before="239"/>
        <w:ind w:left="820" w:hanging="720"/>
      </w:pPr>
      <w:bookmarkStart w:id="54" w:name="_bookmark56"/>
      <w:bookmarkEnd w:id="54"/>
      <w:r w:rsidRPr="008733AC">
        <w:rPr>
          <w:color w:val="404040"/>
        </w:rPr>
        <w:t>Wat is een 'gemachtigde vertegenwoordiger'?</w:t>
      </w:r>
    </w:p>
    <w:p w14:paraId="24A567A0" w14:textId="77777777" w:rsidR="002B78A6" w:rsidRPr="008733AC" w:rsidRDefault="00000000">
      <w:pPr>
        <w:pStyle w:val="Plattetekst"/>
        <w:ind w:right="153"/>
      </w:pPr>
      <w:r w:rsidRPr="008733AC">
        <w:rPr>
          <w:color w:val="404040"/>
        </w:rPr>
        <w:t xml:space="preserve">Overeenkomstig artikel 6 kunnen de marktdeelnemer of handelaar een gemachtigde vertegenwoordiger aanstellen om namens hen de zorgvuldigheidsverklaring in te dienen. In </w:t>
      </w:r>
      <w:r w:rsidRPr="008733AC">
        <w:rPr>
          <w:color w:val="404040"/>
        </w:rPr>
        <w:lastRenderedPageBreak/>
        <w:t>dit geval blijft de marktdeelnemer of handelaar verantwoordelijk voor de naleving van de relevante producten.</w:t>
      </w:r>
    </w:p>
    <w:p w14:paraId="78852CAE" w14:textId="77777777" w:rsidR="002B78A6" w:rsidRPr="008733AC" w:rsidRDefault="00000000">
      <w:pPr>
        <w:pStyle w:val="Plattetekst"/>
        <w:spacing w:before="242"/>
        <w:ind w:right="154"/>
      </w:pPr>
      <w:r w:rsidRPr="008733AC">
        <w:rPr>
          <w:color w:val="404040"/>
        </w:rPr>
        <w:t>Als de marktdeelnemer een natuurlijk persoon of micro-onderneming is, kan deze de volgende marktdeelnemer of handelaar stroomafwaarts in de toeleveringsketen aanstellen om als zijn gemachtigde vertegenwoordiger op te treden, voor zover dit geen natuurlijk persoon of micro-onderneming is. In dit geval blijft de aanstellende marktdeelnemer of handelaar verantwoordelijk voor de naleving van het product.</w:t>
      </w:r>
    </w:p>
    <w:p w14:paraId="280FFAF6" w14:textId="77777777" w:rsidR="002B78A6" w:rsidRPr="008733AC" w:rsidRDefault="00000000">
      <w:pPr>
        <w:pStyle w:val="Kop3"/>
        <w:numPr>
          <w:ilvl w:val="0"/>
          <w:numId w:val="2"/>
        </w:numPr>
        <w:tabs>
          <w:tab w:val="left" w:pos="820"/>
        </w:tabs>
        <w:spacing w:before="239"/>
        <w:ind w:left="820" w:hanging="720"/>
      </w:pPr>
      <w:bookmarkStart w:id="55" w:name="_bookmark57"/>
      <w:bookmarkEnd w:id="55"/>
      <w:r w:rsidRPr="008733AC">
        <w:rPr>
          <w:color w:val="404040"/>
        </w:rPr>
        <w:t>Kunnen bedrijven zorgvuldigheid betrachten namens dochterondernemingen?</w:t>
      </w:r>
    </w:p>
    <w:p w14:paraId="081B6AA4" w14:textId="77777777" w:rsidR="002B78A6" w:rsidRPr="008733AC" w:rsidRDefault="00000000">
      <w:pPr>
        <w:pStyle w:val="Plattetekst"/>
        <w:ind w:right="154"/>
      </w:pPr>
      <w:r w:rsidRPr="008733AC">
        <w:rPr>
          <w:color w:val="404040"/>
        </w:rPr>
        <w:t>De interne organisatie en het zorgvuldigheidsbeleid van een groep ondernemingen (een moedermaatschappij en haar dochterondernemingen) vallen niet onder de Verordening. De marktdeelnemer of handelaar die een relevant product in de handel brengt, op de markt aanbiedt of uitvoert, is verantwoordelijk voor de conformiteit van het product en voor de algehele naleving van de Verordening. Het is dan ook zijn naam die in de zorgvuldigheidsverklaring moet worden vermeld en hij behoudt de volledige verantwoordelijkheid krachtens de Verordening.</w:t>
      </w:r>
    </w:p>
    <w:p w14:paraId="1ED6BCB1" w14:textId="77777777" w:rsidR="002B78A6" w:rsidRPr="008733AC" w:rsidRDefault="00000000">
      <w:pPr>
        <w:pStyle w:val="Kop3"/>
        <w:numPr>
          <w:ilvl w:val="0"/>
          <w:numId w:val="2"/>
        </w:numPr>
        <w:tabs>
          <w:tab w:val="left" w:pos="820"/>
        </w:tabs>
        <w:ind w:left="820" w:hanging="720"/>
      </w:pPr>
      <w:bookmarkStart w:id="56" w:name="_bookmark58"/>
      <w:bookmarkEnd w:id="56"/>
      <w:r w:rsidRPr="008733AC">
        <w:rPr>
          <w:color w:val="404040"/>
        </w:rPr>
        <w:t>Wat met de wederinvoer van een product?</w:t>
      </w:r>
    </w:p>
    <w:p w14:paraId="2F11A519" w14:textId="77777777" w:rsidR="002B78A6" w:rsidRPr="008733AC" w:rsidRDefault="00000000">
      <w:pPr>
        <w:spacing w:before="240" w:line="242" w:lineRule="auto"/>
        <w:ind w:left="100" w:right="157"/>
        <w:jc w:val="both"/>
        <w:rPr>
          <w:b/>
          <w:sz w:val="24"/>
        </w:rPr>
      </w:pPr>
      <w:r w:rsidRPr="008733AC">
        <w:rPr>
          <w:b/>
          <w:color w:val="404040"/>
          <w:sz w:val="24"/>
        </w:rPr>
        <w:t>Wat zijn mijn zorgvuldigheidsverplichtingen als ik een product dat eerder uit de EU is uitgevoerd, opnieuw invoer?</w:t>
      </w:r>
    </w:p>
    <w:p w14:paraId="7BCC676A" w14:textId="77777777" w:rsidR="002B78A6" w:rsidRPr="008733AC" w:rsidRDefault="00000000">
      <w:pPr>
        <w:pStyle w:val="Plattetekst"/>
        <w:spacing w:before="41"/>
        <w:ind w:right="155"/>
      </w:pPr>
      <w:r w:rsidRPr="008733AC">
        <w:rPr>
          <w:color w:val="404040"/>
        </w:rPr>
        <w:t>Wanneer een marktdeelnemer (of niet-kmo-handelaar) een product dat eerder werd uitgevoerd, opnieuw invoert en onder de douaneregeling 'in het vrije verkeer brengen' plaatst, gelden dezelfde verplichtingen als wanneer het product voor het eerst in de handel werd gebracht. Bij uitvoer verliest het betrokken product zijn douanestatus van 'goed van de Europese Unie' en wordt het als een nieuw product beschouwd wanneer het later opnieuw in de handel wordt gebracht of op de markt wordt aangeboden. Reeds bestaande zorgvuldigheidsverklaringen kunnen de marktdeelnemer helpen om de zorgvuldigheid te betrachten.</w:t>
      </w:r>
    </w:p>
    <w:p w14:paraId="6BA8453E" w14:textId="77777777" w:rsidR="002B78A6" w:rsidRPr="008733AC" w:rsidRDefault="00000000">
      <w:pPr>
        <w:pStyle w:val="Kop3"/>
        <w:numPr>
          <w:ilvl w:val="0"/>
          <w:numId w:val="2"/>
        </w:numPr>
        <w:tabs>
          <w:tab w:val="left" w:pos="820"/>
        </w:tabs>
        <w:spacing w:before="239"/>
        <w:ind w:left="820" w:hanging="720"/>
      </w:pPr>
      <w:bookmarkStart w:id="57" w:name="_bookmark59"/>
      <w:bookmarkEnd w:id="57"/>
      <w:r w:rsidRPr="008733AC">
        <w:rPr>
          <w:color w:val="404040"/>
        </w:rPr>
        <w:t>Op welke douaneprocedures heeft dit een effect?</w:t>
      </w:r>
    </w:p>
    <w:p w14:paraId="31753F8E" w14:textId="77777777" w:rsidR="002B78A6" w:rsidRPr="008733AC" w:rsidRDefault="00000000">
      <w:pPr>
        <w:pStyle w:val="Plattetekst"/>
        <w:spacing w:before="242"/>
        <w:ind w:right="159"/>
      </w:pPr>
      <w:r w:rsidRPr="008733AC">
        <w:rPr>
          <w:color w:val="404040"/>
        </w:rPr>
        <w:t>Relevante producten die onder andere douaneregelingen dan 'in het vrije verkeer brengen' of 'uitvoer' worden geplaatst (bv. douane-entrepot, actieve veredeling, tijdelijke invoer enz.), zijn niet onderworpen aan de EUDR.</w:t>
      </w:r>
    </w:p>
    <w:p w14:paraId="7A13F0F1" w14:textId="77777777" w:rsidR="002B78A6" w:rsidRPr="008733AC" w:rsidRDefault="00000000">
      <w:pPr>
        <w:pStyle w:val="Kop3"/>
        <w:numPr>
          <w:ilvl w:val="0"/>
          <w:numId w:val="2"/>
        </w:numPr>
        <w:tabs>
          <w:tab w:val="left" w:pos="820"/>
        </w:tabs>
        <w:ind w:left="820" w:hanging="720"/>
      </w:pPr>
      <w:bookmarkStart w:id="58" w:name="_bookmark60"/>
      <w:bookmarkEnd w:id="58"/>
      <w:r w:rsidRPr="008733AC">
        <w:rPr>
          <w:color w:val="404040"/>
        </w:rPr>
        <w:t>Welke rol hebben de certificerings- of verificatieregelingen?</w:t>
      </w:r>
    </w:p>
    <w:p w14:paraId="6A0F3CE4" w14:textId="77777777" w:rsidR="002B78A6" w:rsidRPr="008733AC" w:rsidRDefault="00000000">
      <w:pPr>
        <w:pStyle w:val="Plattetekst"/>
        <w:ind w:right="154"/>
      </w:pPr>
      <w:r w:rsidRPr="008733AC">
        <w:rPr>
          <w:color w:val="404040"/>
        </w:rPr>
        <w:t>Certificeringsregelingen kunnen door leden van de toeleveringsketen worden gebruikt als hulpmiddel bij hun risicobeoordeling, voor zover de certificering betrekking heeft op de informatie die zij nodig hebben om hun verplichtingen uit hoofde van de Verordening na te komen. Marktdeelnemers en niet-kmo-handelaren zullen nog steeds de nodige zorgvuldigheid moeten betrachten en zullen verantwoordelijk blijven voor elke inbreuk.</w:t>
      </w:r>
    </w:p>
    <w:p w14:paraId="659FF408" w14:textId="77777777" w:rsidR="002B78A6" w:rsidRPr="008733AC" w:rsidRDefault="00000000">
      <w:pPr>
        <w:pStyle w:val="Kop3"/>
        <w:numPr>
          <w:ilvl w:val="0"/>
          <w:numId w:val="2"/>
        </w:numPr>
        <w:tabs>
          <w:tab w:val="left" w:pos="820"/>
        </w:tabs>
        <w:spacing w:before="239"/>
        <w:ind w:left="820" w:hanging="720"/>
      </w:pPr>
      <w:bookmarkStart w:id="59" w:name="_bookmark61"/>
      <w:bookmarkEnd w:id="59"/>
      <w:r w:rsidRPr="008733AC">
        <w:rPr>
          <w:color w:val="404040"/>
        </w:rPr>
        <w:t>Hoe lang moet documentatie worden bewaard?</w:t>
      </w:r>
    </w:p>
    <w:p w14:paraId="4461C4C0" w14:textId="77777777" w:rsidR="002B78A6" w:rsidRPr="008733AC" w:rsidRDefault="00000000">
      <w:pPr>
        <w:spacing w:before="240"/>
        <w:ind w:left="100" w:right="159"/>
        <w:jc w:val="both"/>
        <w:rPr>
          <w:b/>
          <w:sz w:val="24"/>
        </w:rPr>
      </w:pPr>
      <w:r w:rsidRPr="008733AC">
        <w:rPr>
          <w:b/>
          <w:color w:val="404040"/>
          <w:sz w:val="24"/>
        </w:rPr>
        <w:t xml:space="preserve">Hoe lang moet de marktdeelnemer de documentatie van het zorgvuldigheidsonderzoek? Moeten kmo-handelaren de relevante informatie bijhouden over het product dat ze in de </w:t>
      </w:r>
      <w:r w:rsidRPr="008733AC">
        <w:rPr>
          <w:b/>
          <w:color w:val="404040"/>
          <w:sz w:val="24"/>
        </w:rPr>
        <w:lastRenderedPageBreak/>
        <w:t>handel brengen, op de markt aanbieden of uitvoeren? Wat wordt beschouwd als het begin van deze termijn?</w:t>
      </w:r>
    </w:p>
    <w:p w14:paraId="75C5DE87" w14:textId="77777777" w:rsidR="002B78A6" w:rsidRPr="008733AC" w:rsidRDefault="00000000">
      <w:pPr>
        <w:pStyle w:val="Plattetekst"/>
        <w:ind w:right="162"/>
      </w:pPr>
      <w:r w:rsidRPr="008733AC">
        <w:rPr>
          <w:color w:val="404040"/>
        </w:rPr>
        <w:t xml:space="preserve">De marktdeelnemers verzamelen, ordenen en bewaren de op grond van artikel 9 verzamelde informatie, vergezeld van bewijsmateriaal, gedurende vijf jaar vanaf de datum van het in de handel brengen of de uitvoer van de relevante grondstoffen en relevante producten. Gebaseerd op de bepalingen van artikel 10, </w:t>
      </w:r>
    </w:p>
    <w:p w14:paraId="42F6C6A5" w14:textId="77777777" w:rsidR="002B78A6" w:rsidRPr="008733AC" w:rsidRDefault="00000000">
      <w:pPr>
        <w:pStyle w:val="Plattetekst"/>
        <w:spacing w:before="2"/>
        <w:ind w:right="156"/>
      </w:pPr>
      <w:r w:rsidRPr="008733AC">
        <w:rPr>
          <w:color w:val="404040"/>
        </w:rPr>
        <w:t>lid 4 en artikel 11, lid 3, moeten de marktdeelnemers kunnen aantonen hoe de nodige zorgvuldigheid werd betracht en welke risicobeperkende maatregelen werden genomen wanneer er een risico werd vastgesteld. Relevante documentatie over deze maatregelen moet worden bewaard gedurende ten minste vijf jaar nadat de zorgvuldigheid is betracht. Marktdeelnemers moeten ook de zorgvuldigheidsverklaringen bewaren gedurende vijf jaar vanaf de datum waarop de verklaring is ingediend in het informatiesysteem, dat wil zeggen vóór de datum waarop het product in de handel wordt gebracht of wordt uitgevoerd. In dat opzicht hebben niet-kmo-handelaren dezelfde verplichtingen als marktdeelnemers.</w:t>
      </w:r>
    </w:p>
    <w:p w14:paraId="102F8D79" w14:textId="77777777" w:rsidR="002B78A6" w:rsidRPr="008733AC" w:rsidRDefault="00000000">
      <w:pPr>
        <w:pStyle w:val="Plattetekst"/>
        <w:spacing w:before="239"/>
        <w:ind w:right="156"/>
      </w:pPr>
      <w:r w:rsidRPr="008733AC">
        <w:rPr>
          <w:color w:val="404040"/>
        </w:rPr>
        <w:t>Kmo-handelaren moeten de in artikel 5, lid 3, genoemde informatie, met inbegrip van de referentienummers van de zorgvuldigheidsverklaringen, ten minste vijf jaar bewaren vanaf de datum waarop de betrokken producten op de markt zijn aangeboden of zijn uitgevoerd.</w:t>
      </w:r>
    </w:p>
    <w:p w14:paraId="0B531328" w14:textId="77777777" w:rsidR="002B78A6" w:rsidRPr="008733AC" w:rsidRDefault="00000000">
      <w:pPr>
        <w:pStyle w:val="Kop3"/>
        <w:numPr>
          <w:ilvl w:val="0"/>
          <w:numId w:val="2"/>
        </w:numPr>
        <w:tabs>
          <w:tab w:val="left" w:pos="818"/>
        </w:tabs>
        <w:ind w:left="818" w:hanging="718"/>
        <w:jc w:val="both"/>
      </w:pPr>
      <w:bookmarkStart w:id="60" w:name="_bookmark62"/>
      <w:bookmarkEnd w:id="60"/>
      <w:r w:rsidRPr="008733AC">
        <w:rPr>
          <w:color w:val="404040"/>
        </w:rPr>
        <w:t>Wat zijn de criteria voor 'producten met verwaarloosbaar risico'?</w:t>
      </w:r>
    </w:p>
    <w:p w14:paraId="5B57F88B" w14:textId="447BF4AE" w:rsidR="002B78A6" w:rsidRPr="008733AC" w:rsidRDefault="00000000" w:rsidP="002133AA">
      <w:pPr>
        <w:pStyle w:val="Plattetekst"/>
        <w:ind w:right="156"/>
      </w:pPr>
      <w:r w:rsidRPr="008733AC">
        <w:rPr>
          <w:color w:val="404040"/>
        </w:rPr>
        <w:t>'Verwaarloosbaar risico' verwijst naar het risiconiveau dat van toepassing is op relevante producten die in de handel worden gebracht of worden uitgevoerd en waarbij, op basis van een volledige beoordeling van productspecifieke en algemene informatie en, indien nodig, met toepassing van de passende risicobeperkende</w:t>
      </w:r>
      <w:r w:rsidR="002133AA" w:rsidRPr="008733AC">
        <w:rPr>
          <w:color w:val="404040"/>
        </w:rPr>
        <w:t xml:space="preserve"> </w:t>
      </w:r>
      <w:r w:rsidRPr="008733AC">
        <w:rPr>
          <w:color w:val="404040"/>
        </w:rPr>
        <w:t>maatregelen, deze grondstoffen of producten geen aanleiding geven tot de bezorgdheid dat ze niet in overeenstemming zouden zijn met artikel 3, punten a) of b).</w:t>
      </w:r>
    </w:p>
    <w:p w14:paraId="58E6C090" w14:textId="77777777" w:rsidR="002B78A6" w:rsidRPr="008733AC" w:rsidRDefault="00000000">
      <w:pPr>
        <w:pStyle w:val="Kop3"/>
        <w:numPr>
          <w:ilvl w:val="0"/>
          <w:numId w:val="2"/>
        </w:numPr>
        <w:tabs>
          <w:tab w:val="left" w:pos="820"/>
        </w:tabs>
        <w:ind w:left="820" w:hanging="720"/>
      </w:pPr>
      <w:bookmarkStart w:id="61" w:name="_bookmark63"/>
      <w:bookmarkEnd w:id="61"/>
      <w:r w:rsidRPr="008733AC">
        <w:rPr>
          <w:color w:val="404040"/>
        </w:rPr>
        <w:t>Zijn 'producten met verwaarloosbaar risico' vrijgesteld?</w:t>
      </w:r>
    </w:p>
    <w:p w14:paraId="27764CE0" w14:textId="77777777" w:rsidR="002B78A6" w:rsidRPr="008733AC" w:rsidRDefault="00000000">
      <w:pPr>
        <w:spacing w:before="240"/>
        <w:ind w:left="100"/>
        <w:rPr>
          <w:b/>
          <w:sz w:val="24"/>
        </w:rPr>
      </w:pPr>
      <w:r w:rsidRPr="008733AC">
        <w:rPr>
          <w:b/>
          <w:color w:val="404040"/>
          <w:sz w:val="24"/>
        </w:rPr>
        <w:t>Kunnen we een verwaarloosbaar risico volgens artikel 2, lid 26 van de EUDR in combinatie met artikel 10, lid 1 van de EUDR opvatten als een vrijstellingscriterium van de EUDR?</w:t>
      </w:r>
    </w:p>
    <w:p w14:paraId="006FEAD2" w14:textId="77777777" w:rsidR="002B78A6" w:rsidRPr="008733AC" w:rsidRDefault="00000000">
      <w:pPr>
        <w:pStyle w:val="Plattetekst"/>
        <w:spacing w:before="239"/>
        <w:ind w:right="157"/>
      </w:pPr>
      <w:r w:rsidRPr="008733AC">
        <w:rPr>
          <w:color w:val="404040"/>
        </w:rPr>
        <w:t xml:space="preserve">Nee. Marktdeelnemers en handelaren (die geen kmo's zijn) mogen alleen tot de conclusie komen dat er sprake is van een 'verwaarloosbaar risico' (wat een voorwaarde is voor het in de handel brengen of op de markt aanbieden van relevante producten of de uitvoer ervan) </w:t>
      </w:r>
      <w:r w:rsidRPr="008733AC">
        <w:rPr>
          <w:b/>
          <w:color w:val="404040"/>
        </w:rPr>
        <w:t>nadat ze zorgvuldigheid hebben betracht</w:t>
      </w:r>
      <w:r w:rsidRPr="008733AC">
        <w:rPr>
          <w:color w:val="404040"/>
        </w:rPr>
        <w:t xml:space="preserve"> (overeenkomstig artikel 4, lid 1). Het betrachten van zorgvuldigheid is een kernverplichting van marktdeelnemers en handelaren onder deze Verordening, waarvoor geen enkele vrijstelling geldt.</w:t>
      </w:r>
    </w:p>
    <w:p w14:paraId="60902BAA" w14:textId="77777777" w:rsidR="002B78A6" w:rsidRPr="008733AC" w:rsidRDefault="00000000">
      <w:pPr>
        <w:pStyle w:val="Plattetekst"/>
        <w:spacing w:before="242"/>
        <w:jc w:val="left"/>
      </w:pPr>
      <w:r w:rsidRPr="008733AC">
        <w:rPr>
          <w:color w:val="404040"/>
        </w:rPr>
        <w:t>NB: het element 'verwaarloosbaar risico' is niet van toepassing op grondstoffen (er is geen 'risicostatus' per</w:t>
      </w:r>
    </w:p>
    <w:p w14:paraId="15E80D80" w14:textId="77777777" w:rsidR="002B78A6" w:rsidRPr="008733AC" w:rsidRDefault="00000000">
      <w:pPr>
        <w:pStyle w:val="Plattetekst"/>
        <w:spacing w:before="0"/>
        <w:jc w:val="left"/>
      </w:pPr>
      <w:r w:rsidRPr="008733AC">
        <w:rPr>
          <w:color w:val="404040"/>
        </w:rPr>
        <w:t>grondstof in de Verordening).</w:t>
      </w:r>
    </w:p>
    <w:p w14:paraId="025AA64B" w14:textId="77777777" w:rsidR="002B78A6" w:rsidRPr="008733AC" w:rsidRDefault="00000000">
      <w:pPr>
        <w:pStyle w:val="Kop3"/>
        <w:numPr>
          <w:ilvl w:val="0"/>
          <w:numId w:val="2"/>
        </w:numPr>
        <w:tabs>
          <w:tab w:val="left" w:pos="820"/>
        </w:tabs>
        <w:ind w:left="820" w:hanging="720"/>
      </w:pPr>
      <w:bookmarkStart w:id="62" w:name="_bookmark64"/>
      <w:bookmarkEnd w:id="62"/>
      <w:r w:rsidRPr="008733AC">
        <w:rPr>
          <w:color w:val="404040"/>
        </w:rPr>
        <w:t>Kunnen bepaalde grondstoffen uit een bepaald land als 'verwaarloosbaar risico' worden beschouwd?</w:t>
      </w:r>
    </w:p>
    <w:p w14:paraId="6AAA46F6" w14:textId="77777777" w:rsidR="002B78A6" w:rsidRPr="008733AC" w:rsidRDefault="00000000">
      <w:pPr>
        <w:pStyle w:val="Plattetekst"/>
        <w:spacing w:line="259" w:lineRule="auto"/>
        <w:ind w:right="159"/>
      </w:pPr>
      <w:r w:rsidRPr="008733AC">
        <w:t>Kan palmolie, rubber, koffie, cacao of hout uit een bepaald land worden beschouwd als 'verwaarloosbaar risico'?</w:t>
      </w:r>
    </w:p>
    <w:p w14:paraId="217142A8" w14:textId="77777777" w:rsidR="002B78A6" w:rsidRPr="008733AC" w:rsidRDefault="00000000">
      <w:pPr>
        <w:pStyle w:val="Plattetekst"/>
        <w:spacing w:before="159"/>
        <w:jc w:val="left"/>
      </w:pPr>
      <w:r w:rsidRPr="008733AC">
        <w:rPr>
          <w:color w:val="404040"/>
        </w:rPr>
        <w:lastRenderedPageBreak/>
        <w:t>Nee. Zie de vorige vraag.</w:t>
      </w:r>
    </w:p>
    <w:p w14:paraId="1116F81B" w14:textId="77777777" w:rsidR="002B78A6" w:rsidRPr="008733AC" w:rsidRDefault="00000000">
      <w:pPr>
        <w:spacing w:before="240"/>
        <w:ind w:left="1" w:right="61"/>
        <w:jc w:val="center"/>
        <w:rPr>
          <w:b/>
          <w:sz w:val="24"/>
        </w:rPr>
      </w:pPr>
      <w:r w:rsidRPr="008733AC">
        <w:rPr>
          <w:b/>
          <w:color w:val="404040"/>
          <w:sz w:val="24"/>
        </w:rPr>
        <w:t>°°0°°</w:t>
      </w:r>
    </w:p>
    <w:p w14:paraId="3938EBD1" w14:textId="77777777" w:rsidR="002B78A6" w:rsidRPr="008733AC" w:rsidRDefault="00000000">
      <w:pPr>
        <w:pStyle w:val="Kop1"/>
        <w:spacing w:before="240"/>
      </w:pPr>
      <w:bookmarkStart w:id="63" w:name="_bookmark65"/>
      <w:bookmarkEnd w:id="63"/>
      <w:r w:rsidRPr="008733AC">
        <w:rPr>
          <w:color w:val="404040"/>
        </w:rPr>
        <w:t>Benchmarking en partnerschappen</w:t>
      </w:r>
    </w:p>
    <w:p w14:paraId="57BB79C1" w14:textId="77777777" w:rsidR="002B78A6" w:rsidRPr="008733AC" w:rsidRDefault="00000000">
      <w:pPr>
        <w:pStyle w:val="Kop3"/>
        <w:numPr>
          <w:ilvl w:val="0"/>
          <w:numId w:val="2"/>
        </w:numPr>
        <w:tabs>
          <w:tab w:val="left" w:pos="820"/>
        </w:tabs>
        <w:spacing w:before="241"/>
        <w:ind w:left="820" w:hanging="720"/>
      </w:pPr>
      <w:bookmarkStart w:id="64" w:name="_bookmark66"/>
      <w:bookmarkEnd w:id="64"/>
      <w:r w:rsidRPr="008733AC">
        <w:rPr>
          <w:color w:val="404040"/>
        </w:rPr>
        <w:t>Wat is landenbenchmarking?</w:t>
      </w:r>
    </w:p>
    <w:p w14:paraId="4E3AD03B" w14:textId="77777777" w:rsidR="002B78A6" w:rsidRPr="008733AC" w:rsidRDefault="00000000">
      <w:pPr>
        <w:pStyle w:val="Plattetekst"/>
        <w:ind w:right="163"/>
      </w:pPr>
      <w:r w:rsidRPr="008733AC">
        <w:rPr>
          <w:color w:val="404040"/>
        </w:rPr>
        <w:t>Een benchmarkingsysteem van de Commissie zal landen, of delen daarvan, indelen in drie categorieën (hoog, standaard en laag risico) op basis van het risiconiveau van de productie in deze landen van grondstoffen die niet ontbossingsvrij zijn.</w:t>
      </w:r>
    </w:p>
    <w:p w14:paraId="41534F96" w14:textId="77777777" w:rsidR="002B78A6" w:rsidRPr="008733AC" w:rsidRDefault="00000000">
      <w:pPr>
        <w:pStyle w:val="Plattetekst"/>
        <w:spacing w:before="239"/>
        <w:ind w:right="155"/>
      </w:pPr>
      <w:r w:rsidRPr="008733AC">
        <w:rPr>
          <w:color w:val="404040"/>
        </w:rPr>
        <w:t>De criteria voor het bepalen van de risicostatus van landen of delen daarvan worden gedefinieerd in artikel 29 van de Verordening. Artikel 29, lid 2, draagt de Commissie op een systeem te ontwikkelen en de lijst van landen, of delen daarvan, te publiceren uiterlijk 18 maanden na de inwerkingtreding van de Verordening, wanneer de belangrijkste verplichtingen van de Verordening ingaan. Het zal gebaseerd zijn op een objectieve en transparante beoordelingsanalyse van kwantitatieve en kwalitatieve criteria, rekening houdend met de meest recente wetenschappelijke gegevens, internationaal erkende bronnen en ter plaatse geverifieerde informatie.</w:t>
      </w:r>
    </w:p>
    <w:p w14:paraId="3420F367" w14:textId="77777777" w:rsidR="002B78A6" w:rsidRPr="008733AC" w:rsidRDefault="00000000">
      <w:pPr>
        <w:pStyle w:val="Kop3"/>
        <w:numPr>
          <w:ilvl w:val="0"/>
          <w:numId w:val="2"/>
        </w:numPr>
        <w:tabs>
          <w:tab w:val="left" w:pos="820"/>
        </w:tabs>
        <w:spacing w:before="242"/>
        <w:ind w:left="820" w:hanging="720"/>
      </w:pPr>
      <w:bookmarkStart w:id="65" w:name="_bookmark67"/>
      <w:bookmarkEnd w:id="65"/>
      <w:r w:rsidRPr="008733AC">
        <w:rPr>
          <w:color w:val="404040"/>
        </w:rPr>
        <w:t>Wat is de methodologie?</w:t>
      </w:r>
    </w:p>
    <w:p w14:paraId="6F267BF3" w14:textId="77777777" w:rsidR="002B78A6" w:rsidRPr="008733AC" w:rsidRDefault="00000000">
      <w:pPr>
        <w:pStyle w:val="Plattetekst"/>
        <w:ind w:right="152"/>
        <w:rPr>
          <w:color w:val="404040"/>
        </w:rPr>
      </w:pPr>
      <w:r w:rsidRPr="008733AC">
        <w:rPr>
          <w:color w:val="404040"/>
        </w:rPr>
        <w:t>De methodologie wordt momenteel ontwikkeld door de Commissie en zal worden gepresenteerd op toekomstige bijeenkomsten van het multistakeholderplatform inzake ontbossing en andere relevante bijeenkomsten.</w:t>
      </w:r>
    </w:p>
    <w:p w14:paraId="13A97377" w14:textId="77777777" w:rsidR="002133AA" w:rsidRPr="008733AC" w:rsidRDefault="002133AA">
      <w:pPr>
        <w:pStyle w:val="Plattetekst"/>
        <w:ind w:right="152"/>
      </w:pPr>
    </w:p>
    <w:p w14:paraId="42507266" w14:textId="77777777" w:rsidR="002B78A6" w:rsidRPr="008733AC" w:rsidRDefault="00000000">
      <w:pPr>
        <w:pStyle w:val="Kop3"/>
        <w:numPr>
          <w:ilvl w:val="0"/>
          <w:numId w:val="2"/>
        </w:numPr>
        <w:tabs>
          <w:tab w:val="left" w:pos="820"/>
        </w:tabs>
        <w:spacing w:before="41"/>
        <w:ind w:left="820" w:hanging="720"/>
      </w:pPr>
      <w:bookmarkStart w:id="66" w:name="_bookmark68"/>
      <w:bookmarkEnd w:id="66"/>
      <w:r w:rsidRPr="008733AC">
        <w:rPr>
          <w:color w:val="404040"/>
        </w:rPr>
        <w:t>Hoe kunnen belanghebbenden bijdragen?</w:t>
      </w:r>
    </w:p>
    <w:p w14:paraId="234195D0" w14:textId="77777777" w:rsidR="002B78A6" w:rsidRPr="008733AC" w:rsidRDefault="00000000">
      <w:pPr>
        <w:spacing w:before="240"/>
        <w:ind w:left="100" w:right="157"/>
        <w:jc w:val="both"/>
        <w:rPr>
          <w:b/>
          <w:sz w:val="24"/>
        </w:rPr>
      </w:pPr>
      <w:r w:rsidRPr="008733AC">
        <w:rPr>
          <w:b/>
          <w:color w:val="404040"/>
          <w:sz w:val="24"/>
        </w:rPr>
        <w:t>Hoe kunnen producerende landen en andere belanghebbenden bijdragen aan het benchmarkingproces, en hoe wordt de door producerende landen en andere belanghebbenden verstrekte informatie geëvalueerd, geverifieerd en gebruikt?</w:t>
      </w:r>
    </w:p>
    <w:p w14:paraId="261D0F7A" w14:textId="77777777" w:rsidR="002B78A6" w:rsidRPr="008733AC" w:rsidRDefault="00000000">
      <w:pPr>
        <w:pStyle w:val="Plattetekst"/>
        <w:ind w:right="151"/>
      </w:pPr>
      <w:r w:rsidRPr="008733AC">
        <w:rPr>
          <w:color w:val="404040"/>
        </w:rPr>
        <w:t>De Commissie moet overeenkomstig artikel 29, lid 5, een specifieke dialoog aangaan met alle landen waaraan een hoog risico is toegewezen of mogelijk zal worden toegewezen, teneinde hun risiconiveau te verminderen. Deze dialoog zal de partnerlanden de gelegenheid bieden om aanvullende relevante informatie te verstrekken en in nauw contact met de EU te werken in de aanloop naar de voltooiing van de risicotoewijzing.</w:t>
      </w:r>
    </w:p>
    <w:p w14:paraId="43E776AA" w14:textId="77777777" w:rsidR="002B78A6" w:rsidRPr="008733AC" w:rsidRDefault="00000000">
      <w:pPr>
        <w:pStyle w:val="Kop3"/>
        <w:numPr>
          <w:ilvl w:val="0"/>
          <w:numId w:val="2"/>
        </w:numPr>
        <w:tabs>
          <w:tab w:val="left" w:pos="820"/>
        </w:tabs>
        <w:spacing w:before="241"/>
        <w:ind w:left="820" w:hanging="720"/>
      </w:pPr>
      <w:bookmarkStart w:id="67" w:name="_bookmark69"/>
      <w:bookmarkEnd w:id="67"/>
      <w:r w:rsidRPr="008733AC">
        <w:rPr>
          <w:color w:val="404040"/>
        </w:rPr>
        <w:t>Kunnen landen relevante gegevens delen met de Commissie?</w:t>
      </w:r>
    </w:p>
    <w:p w14:paraId="21C02C34" w14:textId="77777777" w:rsidR="002B78A6" w:rsidRPr="008733AC" w:rsidRDefault="00000000">
      <w:pPr>
        <w:spacing w:before="240"/>
        <w:ind w:left="100" w:right="155"/>
        <w:jc w:val="both"/>
        <w:rPr>
          <w:b/>
          <w:sz w:val="24"/>
        </w:rPr>
      </w:pPr>
      <w:r w:rsidRPr="008733AC">
        <w:rPr>
          <w:b/>
          <w:color w:val="404040"/>
          <w:sz w:val="24"/>
        </w:rPr>
        <w:t>Kunnen landen gegevens die zij relevant achten voor de uitvoering van deze Verordening (zoals gegevens over ontbossing en bosdegradatie) met de Commissie delen? Zo ja, kunnen zij dit doen buiten het specifieke kader voor dialoog vastgesteld in artikel 29, lid 5?</w:t>
      </w:r>
    </w:p>
    <w:p w14:paraId="646C9590" w14:textId="77777777" w:rsidR="002B78A6" w:rsidRPr="008733AC" w:rsidRDefault="00000000">
      <w:pPr>
        <w:pStyle w:val="Plattetekst"/>
        <w:ind w:right="159"/>
      </w:pPr>
      <w:r w:rsidRPr="008733AC">
        <w:rPr>
          <w:color w:val="404040"/>
        </w:rPr>
        <w:t xml:space="preserve">Hoewel deze Verordening derde landen niet verplicht om relevante gegevens met de EU te delen, kunnen landen die dergelijke gegevens met de EU willen delen, dit op elk moment vanaf de inwerkingtreding van de Verordening doen. Ze kunnen dit doen ongeacht of het </w:t>
      </w:r>
      <w:r w:rsidRPr="008733AC">
        <w:rPr>
          <w:color w:val="404040"/>
        </w:rPr>
        <w:lastRenderedPageBreak/>
        <w:t>land een specifieke dialoog met de EU voert, bijvoorbeeld in het kader van artikel 29, lid 5, van deze Verordening over benchmarking, of in een andere context.</w:t>
      </w:r>
    </w:p>
    <w:p w14:paraId="34B2AAE0" w14:textId="77777777" w:rsidR="002B78A6" w:rsidRPr="008733AC" w:rsidRDefault="00000000">
      <w:pPr>
        <w:pStyle w:val="Kop3"/>
        <w:numPr>
          <w:ilvl w:val="0"/>
          <w:numId w:val="2"/>
        </w:numPr>
        <w:tabs>
          <w:tab w:val="left" w:pos="820"/>
        </w:tabs>
        <w:spacing w:before="239"/>
        <w:ind w:left="820" w:hanging="720"/>
      </w:pPr>
      <w:bookmarkStart w:id="68" w:name="_bookmark70"/>
      <w:bookmarkEnd w:id="68"/>
      <w:r w:rsidRPr="008733AC">
        <w:rPr>
          <w:color w:val="404040"/>
        </w:rPr>
        <w:t>Worden legaliteitsrisico's overwogen?</w:t>
      </w:r>
    </w:p>
    <w:p w14:paraId="45522CFD" w14:textId="77777777" w:rsidR="002B78A6" w:rsidRPr="008733AC" w:rsidRDefault="00000000">
      <w:pPr>
        <w:spacing w:before="240"/>
        <w:ind w:left="100" w:right="155"/>
        <w:jc w:val="both"/>
        <w:rPr>
          <w:b/>
          <w:sz w:val="24"/>
        </w:rPr>
      </w:pPr>
      <w:r w:rsidRPr="008733AC">
        <w:rPr>
          <w:b/>
          <w:color w:val="404040"/>
          <w:sz w:val="24"/>
        </w:rPr>
        <w:t>Zal de benchmarking rekening houden met legaliteitsrisico's alsook ontbossing en bosdegradatie? Hoe worden de wetgeving en het bosbeleid van producerende landen, met name wat betreft 'legale ontbossing', beoordeeld/in aanmerking genomen tijdens het benchmarkingproces?</w:t>
      </w:r>
    </w:p>
    <w:p w14:paraId="7C94C909" w14:textId="77777777" w:rsidR="002B78A6" w:rsidRPr="008733AC" w:rsidRDefault="00000000">
      <w:pPr>
        <w:pStyle w:val="Plattetekst"/>
        <w:spacing w:before="242"/>
        <w:ind w:right="155"/>
      </w:pPr>
      <w:r w:rsidRPr="008733AC">
        <w:rPr>
          <w:color w:val="404040"/>
        </w:rPr>
        <w:t>De lijst met criteria wordt beschreven in artikel 29 van de Verordening. De beoordeling van de Commissie wordt gebaseerd op een objectieve en transparante beoordelingsanalyse op basis van de criteria vastgesteld in artikel 29, leden 3 en 4, van de Verordening. De relevante kwantitatieve criteria zijn: (a) het tempo van ontbossing en bosdegradatie, (b) tempo van uitbreiding van landbouwgrond voor relevante grondstoffen, en (c) productietrends van relevante grondstoffen en relevante producten.</w:t>
      </w:r>
    </w:p>
    <w:p w14:paraId="72F16A62" w14:textId="77777777" w:rsidR="002B78A6" w:rsidRPr="008733AC" w:rsidRDefault="00000000">
      <w:pPr>
        <w:pStyle w:val="Plattetekst"/>
        <w:spacing w:before="239"/>
        <w:ind w:right="152"/>
        <w:rPr>
          <w:color w:val="404040"/>
        </w:rPr>
      </w:pPr>
      <w:r w:rsidRPr="008733AC">
        <w:rPr>
          <w:color w:val="404040"/>
        </w:rPr>
        <w:t>Zoals beoogd in de Verordening kan bij de beoordeling ook rekening worden gehouden met andere criteria, waaronder a) informatie verstrekt door regeringen en derden (ngo's, industrie); b) overeenkomsten en andere instrumenten tussen het betrokken land en de Unie en/of haar lidstaten die betrekking hebben op ontbossing en bosdegradatie; c) het bestaan van nationale wetgeving ter bestrijding van ontbossing en bosdegradatie en de handhaving daarvan; (d) de beschikbaarheid van transparante gegevens in het land; (e) indien van toepassing, het bestaan, de naleving of de effectieve handhaving van wetten ter bescherming van de rechten van inheemse volkeren; (en (g) internationale sancties die door de VN-Veiligheidsraad of de Raad van de Europese Unie zijn opgelegd met betrekking tot de invoer of uitvoer van de relevante grondstoffen en relevante producten; enz.</w:t>
      </w:r>
    </w:p>
    <w:p w14:paraId="5872359C" w14:textId="77777777" w:rsidR="002133AA" w:rsidRPr="008733AC" w:rsidRDefault="002133AA">
      <w:pPr>
        <w:pStyle w:val="Plattetekst"/>
        <w:spacing w:before="239"/>
        <w:ind w:right="152"/>
      </w:pPr>
    </w:p>
    <w:p w14:paraId="1F1F9350" w14:textId="77777777" w:rsidR="002B78A6" w:rsidRPr="008733AC" w:rsidRDefault="00000000">
      <w:pPr>
        <w:pStyle w:val="Kop3"/>
        <w:numPr>
          <w:ilvl w:val="0"/>
          <w:numId w:val="2"/>
        </w:numPr>
        <w:tabs>
          <w:tab w:val="left" w:pos="820"/>
        </w:tabs>
        <w:spacing w:before="41"/>
        <w:ind w:left="820" w:hanging="720"/>
      </w:pPr>
      <w:bookmarkStart w:id="69" w:name="_bookmark71"/>
      <w:bookmarkEnd w:id="69"/>
      <w:r w:rsidRPr="008733AC">
        <w:rPr>
          <w:color w:val="404040"/>
        </w:rPr>
        <w:t>Welke steun wordt verleend aan producerende landen en kleine landbouwbedrijven?</w:t>
      </w:r>
    </w:p>
    <w:p w14:paraId="19631FDC" w14:textId="77777777" w:rsidR="002B78A6" w:rsidRPr="008733AC" w:rsidRDefault="00000000">
      <w:pPr>
        <w:spacing w:before="240"/>
        <w:ind w:left="100" w:right="164"/>
        <w:jc w:val="both"/>
        <w:rPr>
          <w:b/>
          <w:sz w:val="24"/>
        </w:rPr>
      </w:pPr>
      <w:r w:rsidRPr="008733AC">
        <w:rPr>
          <w:b/>
          <w:color w:val="404040"/>
          <w:sz w:val="24"/>
        </w:rPr>
        <w:t>Hoe worden producerende landen en kleine landbouwbedrijven ondersteund om producten te produceren die voldoen aan de Verordening? Hoe kunnen we ervoor zorgen dat kleine landbouwbedrijven niet worden uitgesloten van toeleveringsketens?</w:t>
      </w:r>
    </w:p>
    <w:p w14:paraId="0AC9EC74" w14:textId="77777777" w:rsidR="002B78A6" w:rsidRPr="008733AC" w:rsidRDefault="00000000">
      <w:pPr>
        <w:pStyle w:val="Plattetekst"/>
        <w:ind w:right="158"/>
      </w:pPr>
      <w:r w:rsidRPr="008733AC">
        <w:rPr>
          <w:color w:val="404040"/>
        </w:rPr>
        <w:t>De EU en haar lidstaten intensiveren hun samenwerking met partnerlanden, zowel verbruikslanden als producerende landen, om ontbossing en bosdegradatie gezamenlijk aan te pakken via een wereldwijd Team Europe-initiatief voor ontbossingsvrije waardeketens. Partnerschappen en samenwerkingsmechanismen in het kader van dit initiatief zullen landen helpen om ontbossing en bosdegradatie aan te pakken waar een specifieke behoefte is vastgesteld en waar er vraag is naar samenwerking - bijvoorbeeld om kleine landbouwbedrijven en ondernemingen te helpen om ervoor te zorgen dat er alleen met ontbossingsvrije toeleveringsketens wordt gewerkt. De Commissie is al projecten aangegaan om informatie te verspreiden, het bewustzijn te vergroten en technische vragen aan te pakken door middel van workshops voor kleine landbouwbedrijven in de meest getroffen derde landen.</w:t>
      </w:r>
    </w:p>
    <w:p w14:paraId="7F80D416" w14:textId="77777777" w:rsidR="002B78A6" w:rsidRPr="008733AC" w:rsidRDefault="00000000">
      <w:pPr>
        <w:pStyle w:val="Plattetekst"/>
        <w:spacing w:before="241"/>
      </w:pPr>
      <w:r w:rsidRPr="008733AC">
        <w:rPr>
          <w:color w:val="404040"/>
        </w:rPr>
        <w:t xml:space="preserve">Meer informatie over </w:t>
      </w:r>
      <w:hyperlink r:id="rId12">
        <w:r w:rsidRPr="008733AC">
          <w:rPr>
            <w:color w:val="004493"/>
            <w:u w:val="single" w:color="004493"/>
          </w:rPr>
          <w:t>kansen voor kleine landbouwbedrijven in de EUDR</w:t>
        </w:r>
      </w:hyperlink>
    </w:p>
    <w:p w14:paraId="0C5547CE" w14:textId="77777777" w:rsidR="002B78A6" w:rsidRPr="008733AC" w:rsidRDefault="00000000">
      <w:pPr>
        <w:pStyle w:val="Kop3"/>
        <w:numPr>
          <w:ilvl w:val="0"/>
          <w:numId w:val="2"/>
        </w:numPr>
        <w:tabs>
          <w:tab w:val="left" w:pos="820"/>
        </w:tabs>
        <w:ind w:left="820" w:hanging="720"/>
      </w:pPr>
      <w:bookmarkStart w:id="70" w:name="_bookmark72"/>
      <w:bookmarkEnd w:id="70"/>
      <w:r w:rsidRPr="008733AC">
        <w:rPr>
          <w:color w:val="404040"/>
        </w:rPr>
        <w:lastRenderedPageBreak/>
        <w:t>Wat zijn de verschillende elementen van het Team Europe-initiatief?</w:t>
      </w:r>
    </w:p>
    <w:p w14:paraId="3EB06E65" w14:textId="77777777" w:rsidR="002B78A6" w:rsidRPr="008733AC" w:rsidRDefault="00000000">
      <w:pPr>
        <w:spacing w:before="240"/>
        <w:ind w:left="100" w:right="153"/>
        <w:jc w:val="both"/>
        <w:rPr>
          <w:b/>
          <w:sz w:val="24"/>
        </w:rPr>
      </w:pPr>
      <w:r w:rsidRPr="008733AC">
        <w:rPr>
          <w:b/>
          <w:color w:val="404040"/>
          <w:sz w:val="24"/>
        </w:rPr>
        <w:t>Wat is de wisselwerking tussen de verschillende elementen van het Team Europe-initiatief: de hub, het SAFE-project (Sustainable Agriculture for Forest Ecosystems), FPI-projecten en -faciliteiten die in deze context zijn gepland, maar die ook relevant zijn in een bredere context, bijvoorbeeld op regionaal niveau? Hoe worden overlappingen vermeden?</w:t>
      </w:r>
    </w:p>
    <w:p w14:paraId="1187FA40" w14:textId="77777777" w:rsidR="002B78A6" w:rsidRPr="008733AC" w:rsidRDefault="00000000">
      <w:pPr>
        <w:pStyle w:val="Plattetekst"/>
        <w:spacing w:before="239"/>
        <w:ind w:right="154"/>
      </w:pPr>
      <w:r w:rsidRPr="008733AC">
        <w:rPr>
          <w:color w:val="404040"/>
        </w:rPr>
        <w:t>Deze hub van het Team Europe-initiatief (TEI) (afgekort: 'Zero Deforestation Hub') zal informatie verstrekken en zich tot partnerlanden richten over ontbossingsvrije waardeketens en zal aan kennisbeheer doen om reeds bestaande relevante projecten van de EU en de lidstaten te coördineren, met toekomstige activiteiten die gericht zijn op de doelstellingen van het TEI. Dit zal ervoor zorgen dat de verschillende activiteiten van Team Europe met betrekking tot ontbossingsvrije waardeketens in producerende landen beter op elkaar kunnen worden afgestemd, hiaten kunnen worden opgespoord en overlappingen kunnen worden vermeden.</w:t>
      </w:r>
    </w:p>
    <w:p w14:paraId="28982FC2" w14:textId="77777777" w:rsidR="002B78A6" w:rsidRPr="008733AC" w:rsidRDefault="00000000">
      <w:pPr>
        <w:pStyle w:val="Plattetekst"/>
        <w:spacing w:before="242"/>
        <w:ind w:right="156"/>
      </w:pPr>
      <w:r w:rsidRPr="008733AC">
        <w:rPr>
          <w:color w:val="404040"/>
        </w:rPr>
        <w:t>Het SAFE-project (</w:t>
      </w:r>
      <w:r w:rsidRPr="008733AC">
        <w:rPr>
          <w:b/>
          <w:color w:val="404040"/>
        </w:rPr>
        <w:t>Sustainable Agriculture for Forest Ecosystems</w:t>
      </w:r>
      <w:r w:rsidRPr="008733AC">
        <w:rPr>
          <w:color w:val="404040"/>
        </w:rPr>
        <w:t>) is de belangrijkste pijler van de samenwerking in het kader het TEI. SAFE wordt momenteel geïmplementeerd in Brazilië, Ecuador, Indonesië en Zambia. Er zullen nog meer landencomponenten worden toegevoegd, met Vietnam en de DRC in 2024. Het SAFE-project zal verder worden opgeschaald om meer landen te bestrijken via komende financiële bijdragen van de lidstaten.</w:t>
      </w:r>
    </w:p>
    <w:p w14:paraId="716CFC64" w14:textId="77777777" w:rsidR="002B78A6" w:rsidRPr="008733AC" w:rsidRDefault="00000000">
      <w:pPr>
        <w:pStyle w:val="Plattetekst"/>
        <w:spacing w:before="239"/>
        <w:ind w:right="153"/>
      </w:pPr>
      <w:r w:rsidRPr="008733AC">
        <w:rPr>
          <w:color w:val="404040"/>
        </w:rPr>
        <w:t xml:space="preserve">De </w:t>
      </w:r>
      <w:r w:rsidRPr="008733AC">
        <w:rPr>
          <w:b/>
          <w:color w:val="404040"/>
        </w:rPr>
        <w:t>technische faciliteit voor ontbossingsvrije waardeketens</w:t>
      </w:r>
      <w:r w:rsidRPr="008733AC">
        <w:rPr>
          <w:color w:val="404040"/>
        </w:rPr>
        <w:t xml:space="preserve"> zal een flexibel instrument zijn op verzoek om producerende landen bij te staan met expertise over technische vereisten, zoals geolokalisering, het in kaart brengen van landgebruik en traceerbaarheid, met bijzondere aandacht voor kleine landbouwbedrijven. Deze activiteiten worden nauw gecoördineerd met de EU-delegaties en afgestemd op reeds bestaande projecten, alsook SAFE, om synergieën te creëren en dubbel werk te voorkomen.</w:t>
      </w:r>
    </w:p>
    <w:p w14:paraId="7D1B7D23" w14:textId="77777777" w:rsidR="002B78A6" w:rsidRPr="008733AC" w:rsidRDefault="00000000">
      <w:pPr>
        <w:pStyle w:val="Kop3"/>
        <w:numPr>
          <w:ilvl w:val="0"/>
          <w:numId w:val="2"/>
        </w:numPr>
        <w:tabs>
          <w:tab w:val="left" w:pos="820"/>
        </w:tabs>
        <w:ind w:left="820" w:hanging="720"/>
      </w:pPr>
      <w:bookmarkStart w:id="71" w:name="_bookmark73"/>
      <w:bookmarkEnd w:id="71"/>
      <w:r w:rsidRPr="008733AC">
        <w:rPr>
          <w:color w:val="404040"/>
        </w:rPr>
        <w:t>Hoe verhoudt het Team Europe-initiatief zich tot de CSDDD?</w:t>
      </w:r>
    </w:p>
    <w:p w14:paraId="2B72D133" w14:textId="307F7F69" w:rsidR="002B78A6" w:rsidRPr="008733AC" w:rsidRDefault="00000000" w:rsidP="002133AA">
      <w:pPr>
        <w:pStyle w:val="Plattetekst"/>
        <w:spacing w:before="242"/>
        <w:ind w:right="160"/>
      </w:pPr>
      <w:r w:rsidRPr="008733AC">
        <w:rPr>
          <w:color w:val="404040"/>
        </w:rPr>
        <w:t>Met het oog op het lopende wetgevingsproces rond de Richtlijn inzake passende zorgvuldigheid in het bedrijfsleven op het gebied van duurzaamheid (Corporate Sustainability Due Diligence Directive of CSDDD), zal de TEI-hub nauw samenwerken met de aankomende EU-Helpdesk voor de CSDDD, in het bijzonder met betrekking tot agrarische waardeketens en kleine landbouwbedrijven die door zowel de EUDR als de CSDDD zullen worden beïnvloed.</w:t>
      </w:r>
    </w:p>
    <w:p w14:paraId="6ED057E2" w14:textId="77777777" w:rsidR="002B78A6" w:rsidRPr="008733AC" w:rsidRDefault="00000000">
      <w:pPr>
        <w:pStyle w:val="Kop3"/>
        <w:numPr>
          <w:ilvl w:val="0"/>
          <w:numId w:val="2"/>
        </w:numPr>
        <w:tabs>
          <w:tab w:val="left" w:pos="820"/>
        </w:tabs>
        <w:ind w:left="820" w:hanging="720"/>
      </w:pPr>
      <w:bookmarkStart w:id="72" w:name="_bookmark74"/>
      <w:bookmarkEnd w:id="72"/>
      <w:r w:rsidRPr="008733AC">
        <w:rPr>
          <w:color w:val="404040"/>
        </w:rPr>
        <w:t>Hoe kunnen we het risico op de foutieve benchmarking van een 'hoog risico' beperken?</w:t>
      </w:r>
    </w:p>
    <w:p w14:paraId="49C86872" w14:textId="77777777" w:rsidR="002B78A6" w:rsidRPr="008733AC" w:rsidRDefault="00000000">
      <w:pPr>
        <w:spacing w:before="240"/>
        <w:ind w:left="100" w:right="165"/>
        <w:jc w:val="both"/>
        <w:rPr>
          <w:b/>
          <w:sz w:val="24"/>
        </w:rPr>
      </w:pPr>
      <w:r w:rsidRPr="008733AC">
        <w:rPr>
          <w:b/>
          <w:color w:val="404040"/>
          <w:sz w:val="24"/>
        </w:rPr>
        <w:t>Hoe kunnen we het risico verkleinen dat marktdeelnemers bepaalde toeleveringsketens of bepaalde productielanden/regio's vermijden die als 'hoog risico' zijn aangemerkt?</w:t>
      </w:r>
    </w:p>
    <w:p w14:paraId="285BB442" w14:textId="77777777" w:rsidR="002B78A6" w:rsidRPr="008733AC" w:rsidRDefault="00000000">
      <w:pPr>
        <w:pStyle w:val="Plattetekst"/>
        <w:spacing w:before="239"/>
        <w:ind w:right="156"/>
      </w:pPr>
      <w:r w:rsidRPr="008733AC">
        <w:rPr>
          <w:color w:val="404040"/>
        </w:rPr>
        <w:t xml:space="preserve">Marktdeelnemers die inkopen in landen of delen van landen met een standaard of hoog risico zijn onderworpen aan dezelfde standaard zorgvuldigheidsverplichtingen. Het enige verschil is dat zendingen uit landen met een hoog risico strenger worden gecontroleerd door de bevoegde autoriteiten (9% van de marktdeelnemers koopt in uit gebieden met een </w:t>
      </w:r>
      <w:r w:rsidRPr="008733AC">
        <w:rPr>
          <w:color w:val="404040"/>
        </w:rPr>
        <w:lastRenderedPageBreak/>
        <w:t>hoog risico). In die zin zijn drastische veranderingen van toeleveringsketens niet gerechtvaardigd of te verwachten. Bovendien zal de classificatie als 'hoog risico' leiden tot een specifieke dialoog met de Commissie om samen de onderliggende oorzaken van ontbossing en bosdegradatie aan te pakken, met als doel het risiconiveau te verlagen.</w:t>
      </w:r>
    </w:p>
    <w:p w14:paraId="611F0F75" w14:textId="77777777" w:rsidR="002B78A6" w:rsidRPr="008733AC" w:rsidRDefault="00000000">
      <w:pPr>
        <w:pStyle w:val="Kop3"/>
        <w:numPr>
          <w:ilvl w:val="0"/>
          <w:numId w:val="2"/>
        </w:numPr>
        <w:tabs>
          <w:tab w:val="left" w:pos="820"/>
        </w:tabs>
        <w:spacing w:before="242"/>
        <w:ind w:left="820" w:hanging="720"/>
      </w:pPr>
      <w:bookmarkStart w:id="73" w:name="_bookmark75"/>
      <w:bookmarkEnd w:id="73"/>
      <w:r w:rsidRPr="008733AC">
        <w:rPr>
          <w:color w:val="404040"/>
        </w:rPr>
        <w:t>Hoe zal de EU de transparantie garanderen?</w:t>
      </w:r>
    </w:p>
    <w:p w14:paraId="7FA0E047" w14:textId="77777777" w:rsidR="002B78A6" w:rsidRPr="008733AC" w:rsidRDefault="00000000">
      <w:pPr>
        <w:pStyle w:val="Plattetekst"/>
        <w:ind w:right="153"/>
      </w:pPr>
      <w:r w:rsidRPr="008733AC">
        <w:rPr>
          <w:color w:val="404040"/>
        </w:rPr>
        <w:t>Het proces waarin het benchmarkingsysteem tot stand komt, zal transparant zijn. Er zullen regelmatige updates en raadplegingen over de benchmarkingmethodologie plaatsvinden in het multistakeholderplatform inzake ontbossing, waar naast de 27 EU-lidstaten ook veel derde landen aan deelnemen. De Commissie zal updates geven over de gehanteerde benadering en de toegepaste methodologie.</w:t>
      </w:r>
    </w:p>
    <w:p w14:paraId="78DACBBA" w14:textId="77777777" w:rsidR="002B78A6" w:rsidRPr="008733AC" w:rsidRDefault="00000000" w:rsidP="002133AA">
      <w:pPr>
        <w:pStyle w:val="Plattetekst"/>
        <w:spacing w:before="239"/>
        <w:ind w:right="156"/>
        <w:rPr>
          <w:color w:val="404040"/>
        </w:rPr>
      </w:pPr>
      <w:r w:rsidRPr="008733AC">
        <w:rPr>
          <w:color w:val="404040"/>
        </w:rPr>
        <w:t>Bovendien zal de Commissie, overeenkomstig haar verplichtingen onder de Verordening, een specifieke dialoog aangaan met alle landen waaraan (mogelijk) een hoog risico zal worden toegewezen (vóór de classificering zelf) om hun risiconiveau te verminderen. Dit zorgt ervoor dat de risicostatus niet onverwacht wordt aangekondigd en maakt diepgaandere discussies mogelijk. Deze dialoog zal producentenlanden de gelegenheid bieden om aanvullende relevante informatie te verstrekken.</w:t>
      </w:r>
    </w:p>
    <w:p w14:paraId="6733B76A" w14:textId="6B867B16" w:rsidR="002B78A6" w:rsidRPr="008733AC" w:rsidRDefault="002133AA" w:rsidP="002133AA">
      <w:pPr>
        <w:pStyle w:val="Plattetekst"/>
        <w:spacing w:before="239"/>
        <w:ind w:right="156"/>
        <w:jc w:val="center"/>
        <w:rPr>
          <w:color w:val="404040"/>
        </w:rPr>
      </w:pPr>
      <w:r w:rsidRPr="008733AC">
        <w:rPr>
          <w:color w:val="404040"/>
        </w:rPr>
        <w:t>°°0°°</w:t>
      </w:r>
    </w:p>
    <w:p w14:paraId="46058F31" w14:textId="77777777" w:rsidR="00933051" w:rsidRPr="008733AC" w:rsidRDefault="00933051" w:rsidP="00933051">
      <w:pPr>
        <w:pStyle w:val="Plattetekst"/>
        <w:spacing w:before="0"/>
        <w:ind w:right="156"/>
        <w:jc w:val="center"/>
        <w:rPr>
          <w:color w:val="404040"/>
        </w:rPr>
      </w:pPr>
    </w:p>
    <w:p w14:paraId="786CF463" w14:textId="1578460C" w:rsidR="002B78A6" w:rsidRPr="008733AC" w:rsidRDefault="00000000" w:rsidP="002133AA">
      <w:pPr>
        <w:pStyle w:val="Kop1"/>
        <w:spacing w:before="1"/>
      </w:pPr>
      <w:bookmarkStart w:id="74" w:name="_bookmark76"/>
      <w:bookmarkEnd w:id="74"/>
      <w:r w:rsidRPr="008733AC">
        <w:rPr>
          <w:color w:val="404040"/>
        </w:rPr>
        <w:t>Ondersteuning van de invoering</w:t>
      </w:r>
    </w:p>
    <w:p w14:paraId="1EC63F67" w14:textId="77777777" w:rsidR="002B78A6" w:rsidRPr="008733AC" w:rsidRDefault="00000000">
      <w:pPr>
        <w:pStyle w:val="Kop3"/>
        <w:numPr>
          <w:ilvl w:val="0"/>
          <w:numId w:val="2"/>
        </w:numPr>
        <w:tabs>
          <w:tab w:val="left" w:pos="820"/>
        </w:tabs>
        <w:ind w:left="820" w:hanging="720"/>
      </w:pPr>
      <w:bookmarkStart w:id="75" w:name="_bookmark77"/>
      <w:bookmarkEnd w:id="75"/>
      <w:r w:rsidRPr="008733AC">
        <w:rPr>
          <w:color w:val="404040"/>
        </w:rPr>
        <w:t>Wat is het informatiesysteem en de éénloketomgeving van de Europese Unie?</w:t>
      </w:r>
    </w:p>
    <w:p w14:paraId="367B1DCC" w14:textId="77777777" w:rsidR="002B78A6" w:rsidRPr="008733AC" w:rsidRDefault="00000000">
      <w:pPr>
        <w:pStyle w:val="Plattetekst"/>
        <w:spacing w:before="239"/>
        <w:ind w:right="161"/>
      </w:pPr>
      <w:r w:rsidRPr="008733AC">
        <w:rPr>
          <w:color w:val="404040"/>
        </w:rPr>
        <w:t>Het informatiesysteem (IS) is het IT-systeem dat de zorgvuldigheidsverklaringen zal bevatten die door marktdeelnemers en handelaren worden ingediend om aan de voorschriften van de Verordening te voldoen. Het informatiesysteem zal operationeel zijn zodra de Verordening van toepassing wordt en zal gebruikers de functies bieden zoals opgesomd in artikel 33, lid 2, van de Verordening.</w:t>
      </w:r>
    </w:p>
    <w:p w14:paraId="370631C2" w14:textId="5FC627E1" w:rsidR="002B78A6" w:rsidRPr="008733AC" w:rsidRDefault="00000000" w:rsidP="002133AA">
      <w:pPr>
        <w:pStyle w:val="Plattetekst"/>
        <w:ind w:right="156"/>
      </w:pPr>
      <w:r w:rsidRPr="008733AC">
        <w:rPr>
          <w:color w:val="404040"/>
        </w:rPr>
        <w:t xml:space="preserve">De </w:t>
      </w:r>
      <w:hyperlink r:id="rId13">
        <w:r w:rsidRPr="008733AC">
          <w:rPr>
            <w:color w:val="004493"/>
            <w:u w:val="single" w:color="004493"/>
          </w:rPr>
          <w:t>éénloketomgeving van de Europese Unie voor de douane</w:t>
        </w:r>
      </w:hyperlink>
      <w:r w:rsidRPr="008733AC">
        <w:rPr>
          <w:color w:val="404040"/>
        </w:rPr>
        <w:t xml:space="preserve"> (EU Single Window Environment for Customs of 'EU SWE-C') is een kader dat interoperabiliteit mogelijk maakt tussen IT-systemen van douaneautoriteiten en niet-douanesystemen, zoals het krachtens artikel 33 van de Verordening ingestelde informatiesysteem. De centrale component van EU SWE-C, bekend als het EU CSW-CERTEX-systeem, zal het informatiesysteem koppelen met nationale IT-douanesystemen en zal het mogelijk maken om gegevens die door marktdeelnemers bij douane- en niet-douaneautoriteiten worden ingediend, te delen en te verwerken. De éénloketomgeving zal dus zorgen voor realtime informatie-uitwisseling en digitale samenwerking tussen douaneautoriteiten</w:t>
      </w:r>
      <w:r w:rsidR="002133AA" w:rsidRPr="008733AC">
        <w:rPr>
          <w:color w:val="404040"/>
        </w:rPr>
        <w:t xml:space="preserve"> </w:t>
      </w:r>
      <w:r w:rsidRPr="008733AC">
        <w:rPr>
          <w:color w:val="404040"/>
        </w:rPr>
        <w:t>en de bevoegde autoriteiten die belast zijn met de handhaving van niet-douaneformaliteiten, ook op het gebied van milieubescherming.</w:t>
      </w:r>
    </w:p>
    <w:p w14:paraId="03AFA05E" w14:textId="77777777" w:rsidR="002B78A6" w:rsidRPr="008733AC" w:rsidRDefault="00000000">
      <w:pPr>
        <w:pStyle w:val="Kop3"/>
        <w:numPr>
          <w:ilvl w:val="0"/>
          <w:numId w:val="2"/>
        </w:numPr>
        <w:tabs>
          <w:tab w:val="left" w:pos="820"/>
        </w:tabs>
        <w:ind w:left="820" w:hanging="720"/>
      </w:pPr>
      <w:bookmarkStart w:id="76" w:name="_bookmark78"/>
      <w:bookmarkEnd w:id="76"/>
      <w:r w:rsidRPr="008733AC">
        <w:rPr>
          <w:color w:val="404040"/>
        </w:rPr>
        <w:t>Welke garanties voor gegevensbeveiliging hebben ze?</w:t>
      </w:r>
    </w:p>
    <w:p w14:paraId="03A7F52B" w14:textId="77777777" w:rsidR="002B78A6" w:rsidRPr="008733AC" w:rsidRDefault="00000000">
      <w:pPr>
        <w:pStyle w:val="Plattetekst"/>
        <w:ind w:right="152"/>
      </w:pPr>
      <w:r w:rsidRPr="008733AC">
        <w:rPr>
          <w:color w:val="404040"/>
        </w:rPr>
        <w:t xml:space="preserve">Het informatiesysteem en vervolgens de koppeling ervan met de EU-éénloketomgeving voor de douane zullen worden aangepast aan de relevante en toepasselijke bepalingen inzake gegevensbescherming. In overeenstemming met het opendatabeleid van de Unie biedt de </w:t>
      </w:r>
      <w:r w:rsidRPr="008733AC">
        <w:rPr>
          <w:color w:val="404040"/>
        </w:rPr>
        <w:lastRenderedPageBreak/>
        <w:t>Commissie het bredere publiek toegang tot de volledige geanonimiseerde datasets van het informatiesysteem in een open formaat dat machineleesbaar is en dat interoperabiliteit, hergebruik en toegankelijkheid waarborgt.</w:t>
      </w:r>
    </w:p>
    <w:p w14:paraId="5D751CE1" w14:textId="77777777" w:rsidR="002B78A6" w:rsidRPr="008733AC" w:rsidRDefault="00000000">
      <w:pPr>
        <w:pStyle w:val="Kop3"/>
        <w:numPr>
          <w:ilvl w:val="0"/>
          <w:numId w:val="2"/>
        </w:numPr>
        <w:tabs>
          <w:tab w:val="left" w:pos="820"/>
        </w:tabs>
        <w:spacing w:before="241"/>
        <w:ind w:left="820" w:hanging="720"/>
      </w:pPr>
      <w:bookmarkStart w:id="77" w:name="_bookmark79"/>
      <w:bookmarkEnd w:id="77"/>
      <w:r w:rsidRPr="008733AC">
        <w:rPr>
          <w:color w:val="404040"/>
        </w:rPr>
        <w:t>Hoe kunnen marktdeelnemers en handelaren zich registreren?</w:t>
      </w:r>
    </w:p>
    <w:p w14:paraId="70E1CEA9" w14:textId="77777777" w:rsidR="002B78A6" w:rsidRPr="008733AC" w:rsidRDefault="00000000">
      <w:pPr>
        <w:spacing w:before="240"/>
        <w:ind w:left="100" w:right="160"/>
        <w:jc w:val="both"/>
        <w:rPr>
          <w:b/>
          <w:sz w:val="24"/>
        </w:rPr>
      </w:pPr>
      <w:r w:rsidRPr="008733AC">
        <w:rPr>
          <w:b/>
          <w:color w:val="404040"/>
          <w:sz w:val="24"/>
        </w:rPr>
        <w:t>Wat kunnen marktdeelnemers en handelaren gebruiken als ID-nummer/bedrijfsregistratienummer voor het IS? Hoe moeten marktdeelnemers/handelaren op de interne markt, die geen EORI-nummer en mogelijk ook geen btw-nummer hebben, zich voor het IS registreren?</w:t>
      </w:r>
    </w:p>
    <w:p w14:paraId="21C20AF4" w14:textId="77777777" w:rsidR="002B78A6" w:rsidRPr="008733AC" w:rsidRDefault="00000000">
      <w:pPr>
        <w:pStyle w:val="Plattetekst"/>
        <w:ind w:right="154"/>
      </w:pPr>
      <w:r w:rsidRPr="008733AC">
        <w:rPr>
          <w:color w:val="404040"/>
        </w:rPr>
        <w:t xml:space="preserve">Marktdeelnemers die relevante grondstoffen en producten importeren of exporteren, moeten bij de registratie op het Traces NT-platform hun </w:t>
      </w:r>
      <w:r w:rsidRPr="008733AC">
        <w:rPr>
          <w:b/>
          <w:color w:val="404040"/>
        </w:rPr>
        <w:t>registratie- en identificatienummer van marktdeelnemer</w:t>
      </w:r>
      <w:r w:rsidRPr="008733AC">
        <w:rPr>
          <w:color w:val="404040"/>
        </w:rPr>
        <w:t xml:space="preserve"> (EORI-nummer) meedelen. Marktdeelnemers/handelaren op de interne markt die geen EORI-nummer hebben, kunnen zich registreren via een van de andere identificatoren die door TRACES worden ondersteund, zoals btw-nummer, nationaal ondernemingsnummer of fiscaal identificatienummer.</w:t>
      </w:r>
    </w:p>
    <w:p w14:paraId="2C2AF94D" w14:textId="77777777" w:rsidR="002B78A6" w:rsidRPr="008733AC" w:rsidRDefault="00000000">
      <w:pPr>
        <w:pStyle w:val="Kop3"/>
        <w:numPr>
          <w:ilvl w:val="0"/>
          <w:numId w:val="2"/>
        </w:numPr>
        <w:tabs>
          <w:tab w:val="left" w:pos="820"/>
        </w:tabs>
        <w:spacing w:before="239"/>
        <w:ind w:left="820" w:hanging="720"/>
      </w:pPr>
      <w:bookmarkStart w:id="78" w:name="_bookmark80"/>
      <w:bookmarkEnd w:id="78"/>
      <w:r w:rsidRPr="008733AC">
        <w:rPr>
          <w:color w:val="404040"/>
        </w:rPr>
        <w:t>Kan het systeem veelgebruikte gegevens opslaan?</w:t>
      </w:r>
    </w:p>
    <w:p w14:paraId="07AABD77" w14:textId="77777777" w:rsidR="002B78A6" w:rsidRPr="008733AC" w:rsidRDefault="00000000">
      <w:pPr>
        <w:spacing w:before="240"/>
        <w:ind w:left="100" w:right="163"/>
        <w:jc w:val="both"/>
        <w:rPr>
          <w:b/>
          <w:sz w:val="24"/>
        </w:rPr>
      </w:pPr>
      <w:r w:rsidRPr="008733AC">
        <w:rPr>
          <w:b/>
          <w:color w:val="404040"/>
          <w:sz w:val="24"/>
        </w:rPr>
        <w:t>Zal het mogelijk zijn om veelgebruikte gegevens (bv. de belangrijkste leveranciers van een marktdeelnemer/handelaar) te 'bewaren' in het IS zodat ze gemakkelijk automatisch kunnen worden ingevuld en niet voor elke nieuwe zorgvuldigheidsverklaring opnieuw moeten worden ingevoerd?</w:t>
      </w:r>
    </w:p>
    <w:p w14:paraId="3C334470" w14:textId="77777777" w:rsidR="002B78A6" w:rsidRPr="008733AC" w:rsidRDefault="00000000">
      <w:pPr>
        <w:pStyle w:val="Plattetekst"/>
        <w:spacing w:before="242"/>
        <w:ind w:right="156"/>
      </w:pPr>
      <w:r w:rsidRPr="008733AC">
        <w:rPr>
          <w:color w:val="404040"/>
        </w:rPr>
        <w:t>Het informatiesysteem bevat deze functionaliteit momenteel niet. Het zal echter wel mogelijk zijn om reeds ingediende zorgvuldigheidsverklaringen te dupliceren, wat de nodige tijd verkort om een nieuwe verklaring in te vullen. Het is de verantwoordelijkheid van marktdeelnemers en handelaren om de nodige wijzigingen aan te brengen in de gedupliceerde verklaring om naleving te garanderen. Daarnaast is er een knop 'importeren' waarmee marktdeelnemers de informatie over de productieplaats kunnen importeren uit een vooraf gedefinieerd bestand (geoJSON-formaat).</w:t>
      </w:r>
    </w:p>
    <w:p w14:paraId="15D55E19" w14:textId="77777777" w:rsidR="002B78A6" w:rsidRPr="008733AC" w:rsidRDefault="00000000">
      <w:pPr>
        <w:pStyle w:val="Kop3"/>
        <w:numPr>
          <w:ilvl w:val="0"/>
          <w:numId w:val="2"/>
        </w:numPr>
        <w:tabs>
          <w:tab w:val="left" w:pos="820"/>
        </w:tabs>
        <w:spacing w:before="239"/>
        <w:ind w:left="820" w:hanging="720"/>
      </w:pPr>
      <w:bookmarkStart w:id="79" w:name="_bookmark81"/>
      <w:bookmarkEnd w:id="79"/>
      <w:r w:rsidRPr="008733AC">
        <w:rPr>
          <w:color w:val="404040"/>
        </w:rPr>
        <w:t>Kan het systeem landbouwers helpen om hun geolocatie te bepalen?</w:t>
      </w:r>
    </w:p>
    <w:p w14:paraId="35879DA7" w14:textId="77777777" w:rsidR="002B78A6" w:rsidRPr="008733AC" w:rsidRDefault="00000000">
      <w:pPr>
        <w:pStyle w:val="Plattetekst"/>
        <w:ind w:right="163"/>
      </w:pPr>
      <w:r w:rsidRPr="008733AC">
        <w:rPr>
          <w:color w:val="404040"/>
        </w:rPr>
        <w:t>Nee, het informatiesysteem doet dienst als bewaarplaats voor de zorgvuldigheidsverklaringen die door marktdeelnemers en handelaren worden ingediend overeenkomstig artikel 4, lid 2, en artikel 5, lid 1. Als zodanig biedt het geen software of hulpmiddelen om geolocatiecoördinaten te identificeren.</w:t>
      </w:r>
    </w:p>
    <w:p w14:paraId="2EB7EED4" w14:textId="77777777" w:rsidR="002B78A6" w:rsidRPr="008733AC" w:rsidRDefault="00000000">
      <w:pPr>
        <w:pStyle w:val="Kop3"/>
        <w:numPr>
          <w:ilvl w:val="0"/>
          <w:numId w:val="2"/>
        </w:numPr>
        <w:tabs>
          <w:tab w:val="left" w:pos="820"/>
        </w:tabs>
        <w:ind w:left="820" w:hanging="720"/>
      </w:pPr>
      <w:bookmarkStart w:id="80" w:name="_bookmark82"/>
      <w:bookmarkEnd w:id="80"/>
      <w:r w:rsidRPr="008733AC">
        <w:rPr>
          <w:color w:val="404040"/>
        </w:rPr>
        <w:t>Kan een zorgvuldigheidsverklaring worden gewijzigd?</w:t>
      </w:r>
    </w:p>
    <w:p w14:paraId="6407E83A" w14:textId="1BE96683" w:rsidR="00933051" w:rsidRPr="008733AC" w:rsidRDefault="00000000" w:rsidP="00933051">
      <w:pPr>
        <w:pStyle w:val="Plattetekst"/>
        <w:ind w:right="161"/>
        <w:rPr>
          <w:color w:val="404040"/>
        </w:rPr>
      </w:pPr>
      <w:r w:rsidRPr="008733AC">
        <w:rPr>
          <w:color w:val="404040"/>
        </w:rPr>
        <w:t>Het is mogelijk om een ingediende verklaring te annuleren of wijzigen binnen 72 uur nadat het referentienummer van de zorgvuldigheidsverklaring door het systeem is verstrekt. Annulering of wijziging is niet mogelijk als het referentienummer van de verklaring al is gebruikt in een</w:t>
      </w:r>
      <w:r w:rsidR="002133AA" w:rsidRPr="008733AC">
        <w:rPr>
          <w:color w:val="404040"/>
        </w:rPr>
        <w:t xml:space="preserve"> </w:t>
      </w:r>
      <w:r w:rsidRPr="008733AC">
        <w:rPr>
          <w:color w:val="404040"/>
        </w:rPr>
        <w:t>douaneaangifte, in een andere zorgvuldigheidsverklaring, of als het overeenkomstige product al in de handel is gebracht of op de markt wordt aangeboden of is uitgevoerd.</w:t>
      </w:r>
      <w:bookmarkStart w:id="81" w:name="_bookmark83"/>
      <w:bookmarkEnd w:id="81"/>
    </w:p>
    <w:p w14:paraId="7CA5AE3C" w14:textId="77777777" w:rsidR="00933051" w:rsidRPr="008733AC" w:rsidRDefault="00933051" w:rsidP="00933051">
      <w:pPr>
        <w:pStyle w:val="Kop3"/>
        <w:spacing w:before="52"/>
        <w:ind w:left="100" w:firstLine="0"/>
        <w:jc w:val="center"/>
        <w:rPr>
          <w:color w:val="404040"/>
        </w:rPr>
      </w:pPr>
      <w:r w:rsidRPr="008733AC">
        <w:rPr>
          <w:color w:val="404040"/>
        </w:rPr>
        <w:t>°°0°°</w:t>
      </w:r>
    </w:p>
    <w:p w14:paraId="22D94843" w14:textId="77777777" w:rsidR="00933051" w:rsidRPr="008733AC" w:rsidRDefault="00933051" w:rsidP="00933051">
      <w:pPr>
        <w:pStyle w:val="Kop3"/>
        <w:spacing w:before="52"/>
        <w:ind w:left="100" w:firstLine="0"/>
        <w:jc w:val="center"/>
      </w:pPr>
    </w:p>
    <w:p w14:paraId="20577FA6" w14:textId="4EBE4F0A" w:rsidR="00933051" w:rsidRPr="008733AC" w:rsidRDefault="00933051" w:rsidP="002133AA">
      <w:pPr>
        <w:pStyle w:val="Kop1"/>
        <w:spacing w:before="1"/>
        <w:rPr>
          <w:color w:val="404040"/>
        </w:rPr>
      </w:pPr>
      <w:r w:rsidRPr="008733AC">
        <w:rPr>
          <w:color w:val="404040"/>
        </w:rPr>
        <w:lastRenderedPageBreak/>
        <w:t>Tijdlijnen</w:t>
      </w:r>
    </w:p>
    <w:p w14:paraId="0B262699" w14:textId="77777777" w:rsidR="002B78A6" w:rsidRPr="008733AC" w:rsidRDefault="00000000">
      <w:pPr>
        <w:pStyle w:val="Kop3"/>
        <w:numPr>
          <w:ilvl w:val="0"/>
          <w:numId w:val="2"/>
        </w:numPr>
        <w:tabs>
          <w:tab w:val="left" w:pos="820"/>
        </w:tabs>
        <w:spacing w:before="239"/>
        <w:ind w:left="820" w:hanging="720"/>
      </w:pPr>
      <w:r w:rsidRPr="008733AC">
        <w:rPr>
          <w:color w:val="404040"/>
        </w:rPr>
        <w:t>Wanneer treedt de Verordening in werking en wordt ze toegepast?</w:t>
      </w:r>
    </w:p>
    <w:p w14:paraId="51A366AA" w14:textId="77777777" w:rsidR="002B78A6" w:rsidRPr="008733AC" w:rsidRDefault="00000000">
      <w:pPr>
        <w:pStyle w:val="Plattetekst"/>
        <w:ind w:right="157"/>
        <w:rPr>
          <w:color w:val="404040"/>
        </w:rPr>
      </w:pPr>
      <w:r w:rsidRPr="008733AC">
        <w:rPr>
          <w:color w:val="404040"/>
        </w:rPr>
        <w:t>De Verordening is op 9 juni 2023 gepubliceerd in het Publicatieblad van de Europese Unie. Ze is in werking getreden op 29 juni 2023. De toepasbaarheid van bepaalde artikelen genoemd in lid 2 van artikel 38 zal echter pas ingaan op 30 december 2024 (overgangsperiode van 18 maanden) en op 30 juni 2025 (overgangsperiode van 24 maanden) voor micro- en kleine ondernemingen.</w:t>
      </w:r>
    </w:p>
    <w:p w14:paraId="56125CFD" w14:textId="77777777" w:rsidR="00933051" w:rsidRPr="008733AC" w:rsidRDefault="00933051" w:rsidP="00CE6172">
      <w:pPr>
        <w:pStyle w:val="Plattetekst"/>
        <w:spacing w:before="0"/>
        <w:ind w:right="157"/>
        <w:rPr>
          <w:color w:val="404040"/>
        </w:rPr>
      </w:pPr>
    </w:p>
    <w:p w14:paraId="04A6729C" w14:textId="77777777" w:rsidR="002B78A6" w:rsidRPr="008733AC" w:rsidRDefault="00000000" w:rsidP="00CE6172">
      <w:pPr>
        <w:pStyle w:val="Kop3"/>
        <w:numPr>
          <w:ilvl w:val="0"/>
          <w:numId w:val="2"/>
        </w:numPr>
        <w:tabs>
          <w:tab w:val="left" w:pos="820"/>
        </w:tabs>
        <w:spacing w:before="0"/>
        <w:ind w:left="820" w:hanging="720"/>
      </w:pPr>
      <w:bookmarkStart w:id="82" w:name="_bookmark85"/>
      <w:bookmarkEnd w:id="82"/>
      <w:r w:rsidRPr="008733AC">
        <w:rPr>
          <w:color w:val="404040"/>
        </w:rPr>
        <w:t>Wat met de periode tussen deze datums?</w:t>
      </w:r>
    </w:p>
    <w:p w14:paraId="00877EE7" w14:textId="77777777" w:rsidR="002B78A6" w:rsidRPr="008733AC" w:rsidRDefault="00000000">
      <w:pPr>
        <w:spacing w:before="240"/>
        <w:ind w:left="100" w:right="164"/>
        <w:jc w:val="both"/>
        <w:rPr>
          <w:b/>
          <w:sz w:val="24"/>
        </w:rPr>
      </w:pPr>
      <w:r w:rsidRPr="008733AC">
        <w:rPr>
          <w:b/>
          <w:color w:val="404040"/>
          <w:sz w:val="24"/>
        </w:rPr>
        <w:t>Moeten de producten die in de Unie in de handel worden gebracht tussen de inwerkingtreding van de Verordening en de datum(s) waarop deze van toepassing wordt, voldoen aan de voorschriften van de Verordening?</w:t>
      </w:r>
    </w:p>
    <w:p w14:paraId="691C082E" w14:textId="77777777" w:rsidR="002B78A6" w:rsidRPr="008733AC" w:rsidRDefault="00000000">
      <w:pPr>
        <w:pStyle w:val="Plattetekst"/>
        <w:spacing w:before="242"/>
        <w:ind w:right="155"/>
      </w:pPr>
      <w:r w:rsidRPr="008733AC">
        <w:rPr>
          <w:color w:val="404040"/>
        </w:rPr>
        <w:t>De inwerkingtreding voor grote en middelgrote ondernemingen en handelaren is gepland voor 30 december 2024, 18 maanden na de inwerkingtreding van de Verordening. Dit betekent dat marktdeelnemers en handelaren niet hoeven te voldoen aan de voorschriften voor producten die vóór die datum in de Unie in de handel zijn gebracht. Voor kleine en micro-ondernemingen wordt deze periode verlengd tot 30 juni 2025 (24 maanden na de inwerkingtreding van de Verordening).</w:t>
      </w:r>
    </w:p>
    <w:p w14:paraId="7372C99D" w14:textId="77777777" w:rsidR="002B78A6" w:rsidRPr="008733AC" w:rsidRDefault="00000000">
      <w:pPr>
        <w:pStyle w:val="Kop3"/>
        <w:numPr>
          <w:ilvl w:val="0"/>
          <w:numId w:val="2"/>
        </w:numPr>
        <w:tabs>
          <w:tab w:val="left" w:pos="460"/>
          <w:tab w:val="left" w:pos="818"/>
        </w:tabs>
        <w:spacing w:before="239"/>
        <w:ind w:right="165"/>
        <w:jc w:val="both"/>
      </w:pPr>
      <w:bookmarkStart w:id="83" w:name="_bookmark86"/>
      <w:bookmarkEnd w:id="83"/>
      <w:r w:rsidRPr="008733AC">
        <w:rPr>
          <w:color w:val="404040"/>
        </w:rPr>
        <w:t>Hoe kan ik bewijzen dat het product werd geproduceerd voordat de Verordening van kracht werd?</w:t>
      </w:r>
    </w:p>
    <w:p w14:paraId="15AD8FD6" w14:textId="77777777" w:rsidR="002B78A6" w:rsidRPr="008733AC" w:rsidRDefault="00000000">
      <w:pPr>
        <w:spacing w:before="240"/>
        <w:ind w:left="100" w:right="156"/>
        <w:jc w:val="both"/>
        <w:rPr>
          <w:b/>
          <w:sz w:val="24"/>
        </w:rPr>
      </w:pPr>
      <w:r w:rsidRPr="008733AC">
        <w:rPr>
          <w:b/>
          <w:color w:val="404040"/>
          <w:sz w:val="24"/>
        </w:rPr>
        <w:t>Op wie rust de bewijslast dat de relevante grondstof of het relevante product die/dat een marktdeelnemer in de handel wil brengen of wil uitvoeren, is geproduceerd vóór de inwerkingtreding en dat de Verordening niet van toepassing is?</w:t>
      </w:r>
    </w:p>
    <w:p w14:paraId="3E73CBB3" w14:textId="77777777" w:rsidR="002B78A6" w:rsidRPr="008733AC" w:rsidRDefault="00000000">
      <w:pPr>
        <w:pStyle w:val="Plattetekst"/>
        <w:ind w:right="153"/>
      </w:pPr>
      <w:r w:rsidRPr="008733AC">
        <w:rPr>
          <w:color w:val="404040"/>
        </w:rPr>
        <w:t>De Verordening is van toepassing zoals bepaald in artikel 1, lid 1, tenzij aan de voorwaarden van artikel 1, lid 2, is voldaan. De marktdeelnemer draagt de bewijslast voor deze uitzondering en moet relevante informatie kunnen verstrekken als redelijk bewijs dat aan de voorwaarden van artikel 1, lid 2, is voldaan. Hoewel de marktdeelnemer in dit geval niet verplicht is een zorgvuldigheidsverklaring in te dienen, moet hij de nodige documenten bewaren waaruit blijkt dat de Verordening en de bijbehorende verplichtingen niet van toepassing zijn.</w:t>
      </w:r>
    </w:p>
    <w:p w14:paraId="7B5A6C63" w14:textId="77777777" w:rsidR="002B78A6" w:rsidRPr="008733AC" w:rsidRDefault="00000000">
      <w:pPr>
        <w:pStyle w:val="Kop2"/>
        <w:numPr>
          <w:ilvl w:val="0"/>
          <w:numId w:val="2"/>
        </w:numPr>
        <w:tabs>
          <w:tab w:val="left" w:pos="460"/>
          <w:tab w:val="left" w:pos="818"/>
        </w:tabs>
        <w:jc w:val="both"/>
      </w:pPr>
      <w:bookmarkStart w:id="84" w:name="_bookmark87"/>
      <w:bookmarkEnd w:id="84"/>
      <w:r w:rsidRPr="008733AC">
        <w:rPr>
          <w:color w:val="171717"/>
        </w:rPr>
        <w:t>Wat zijn de verplichtingen voor marktdeelnemers en niet-kmo-handelaren wanneer ze een relevant product in de handel brengen of uitvoeren dat gemaakt is van een relevant product of een relevante grondstof die in de handel is gebracht tijdens de overgangsperiode (d.w.z. de periode tussen de datum van inwerkingtreding van de Verordening (30/6/2023) en de datum van toepassing ervan (30/12/2024)?</w:t>
      </w:r>
    </w:p>
    <w:p w14:paraId="56FD146A" w14:textId="77777777" w:rsidR="002B78A6" w:rsidRPr="008733AC" w:rsidRDefault="00000000">
      <w:pPr>
        <w:pStyle w:val="Plattetekst"/>
      </w:pPr>
      <w:r w:rsidRPr="008733AC">
        <w:t>Deze situatie kan het best worden uitgelegd aan de hand van enkele concrete scenario's:</w:t>
      </w:r>
    </w:p>
    <w:p w14:paraId="4AB7B7DF" w14:textId="77777777" w:rsidR="00933051" w:rsidRPr="008733AC" w:rsidRDefault="00933051" w:rsidP="00933051">
      <w:pPr>
        <w:pStyle w:val="Plattetekst"/>
        <w:spacing w:before="0"/>
      </w:pPr>
    </w:p>
    <w:p w14:paraId="4A49D83A" w14:textId="77777777" w:rsidR="002B78A6" w:rsidRPr="008733AC" w:rsidRDefault="00000000">
      <w:pPr>
        <w:pStyle w:val="Lijstalinea"/>
        <w:numPr>
          <w:ilvl w:val="0"/>
          <w:numId w:val="1"/>
        </w:numPr>
        <w:tabs>
          <w:tab w:val="left" w:pos="460"/>
        </w:tabs>
        <w:spacing w:before="41"/>
        <w:ind w:right="158"/>
        <w:jc w:val="both"/>
        <w:rPr>
          <w:i/>
          <w:sz w:val="24"/>
        </w:rPr>
      </w:pPr>
      <w:r w:rsidRPr="008733AC">
        <w:rPr>
          <w:i/>
          <w:sz w:val="24"/>
        </w:rPr>
        <w:t xml:space="preserve">Een relevante grondstof (bv. natuurlijk rubber, GN-code 4001) wordt tijdens de overgangsperiode in de handel gebracht, dus niet noodzakelijk met geolokalisering, en </w:t>
      </w:r>
      <w:r w:rsidRPr="008733AC">
        <w:rPr>
          <w:i/>
          <w:sz w:val="24"/>
        </w:rPr>
        <w:lastRenderedPageBreak/>
        <w:t>wordt vervolgens gebruikt om een relevant afgeleid product te vervaardigen (bv. nieuwe banden, GN-code 4011), dat vervolgens na 30/12/2024 in de handel wordt gebracht (of wordt uitgevoerd).</w:t>
      </w:r>
    </w:p>
    <w:p w14:paraId="0DF8FE6B" w14:textId="77777777" w:rsidR="002B78A6" w:rsidRPr="008733AC" w:rsidRDefault="00000000">
      <w:pPr>
        <w:pStyle w:val="Plattetekst"/>
        <w:ind w:right="154"/>
      </w:pPr>
      <w:r w:rsidRPr="008733AC">
        <w:t>Als een grondstof in de handel wordt gebracht tijdens de overgangsperiode, dus vóórdat de EUDR van toepassing wordt, wanneer een afgeleid product in de handel wordt gebracht, is de verplichting van de marktdeelnemer (en van niet-kmo-handelaren) beperkt tot het verzamelen van toereikend afdoende en verifieerbare informatie om aan te tonen dat de desbetreffende grondstof (rubber) die is gebruikt om het desbetreffende product (banden) te vervaardigen, in de handel is gebracht voordat de Verordening van toepassing werd. Dit zonder afbreuk te doen aan artikel 37, lid 2, met betrekking tot hout en houtproducten</w:t>
      </w:r>
      <w:r w:rsidRPr="008733AC">
        <w:rPr>
          <w:vertAlign w:val="superscript"/>
        </w:rPr>
        <w:t>1</w:t>
      </w:r>
      <w:r w:rsidRPr="008733AC">
        <w:t>.</w:t>
      </w:r>
    </w:p>
    <w:p w14:paraId="2444FE14" w14:textId="77777777" w:rsidR="002B78A6" w:rsidRPr="008733AC" w:rsidRDefault="00000000">
      <w:pPr>
        <w:pStyle w:val="Plattetekst"/>
        <w:spacing w:before="241"/>
        <w:ind w:right="154"/>
      </w:pPr>
      <w:r w:rsidRPr="008733AC">
        <w:t>Als de grondstof na de overgangsperiode, d.w.z. na 30/12/2024, in de handel wordt gebracht of wordt uitgevoerd, gelden voor de marktdeelnemer (en niet-kmo-handelaren) de standaardverplichtingen van de Verordening. Evenzo, voor onderdelen van relevante producten die zijn geproduceerd met grondstoffen die na 30/12/2024 in de handel zijn gebracht, gelden voor de marktdeelnemer (en niet-kmo-handelaren) de standaardverplichtingen van de Verordening.</w:t>
      </w:r>
    </w:p>
    <w:p w14:paraId="05D40961" w14:textId="77777777" w:rsidR="002B78A6" w:rsidRPr="008733AC" w:rsidRDefault="00000000">
      <w:pPr>
        <w:pStyle w:val="Lijstalinea"/>
        <w:numPr>
          <w:ilvl w:val="0"/>
          <w:numId w:val="1"/>
        </w:numPr>
        <w:tabs>
          <w:tab w:val="left" w:pos="460"/>
        </w:tabs>
        <w:spacing w:before="239"/>
        <w:ind w:right="157"/>
        <w:jc w:val="both"/>
        <w:rPr>
          <w:i/>
          <w:sz w:val="24"/>
        </w:rPr>
      </w:pPr>
      <w:r w:rsidRPr="008733AC">
        <w:rPr>
          <w:i/>
          <w:sz w:val="24"/>
        </w:rPr>
        <w:t>Een relevant product (bv. cacaoboter, GN-code 1804) wordt tijdens de overgangsperiode in de handel gebracht, dus niet noodzakelijk met geolokalisering, maar wordt vervolgens gebruikt om een relevant afgeleid product te vervaardigen (bv. chocolade, GN-code 1806), dat vervolgens na 30/12/2024 in de handel wordt gebracht (of wordt uitgevoerd) door een marktdeelnemer verderop in de keten.</w:t>
      </w:r>
    </w:p>
    <w:p w14:paraId="327885FC" w14:textId="77777777" w:rsidR="002B78A6" w:rsidRPr="008733AC" w:rsidRDefault="00000000">
      <w:pPr>
        <w:pStyle w:val="Plattetekst"/>
        <w:spacing w:line="259" w:lineRule="auto"/>
        <w:ind w:left="167" w:right="156"/>
      </w:pPr>
      <w:r w:rsidRPr="008733AC">
        <w:t>In dit geval is de verplichting van de marktdeelnemer (en van niet-kmo-handelaren) die een afgeleid product (chocolade) in de handel brengt of uitvoert, beperkt tot het verzamelen van toereikend afdoende en verifieerbare informatie om te bewijzen dat het desbetreffende product (cacaoboter) in de handel is gebracht voordat de Verordening van toepassing werd. Voor de onderdelen van het relevante eindproduct die zijn geproduceerd met andere relevante producten die na 30/12/2024 in de handel zijn gebracht, gelden voor de marktdeelnemer (en niet-kmo-handelaren) de standaardverplichtingen van de Verordening. Dit zonder afbreuk te doen aan artikel 37, lid 2, met betrekking tot hout en houtproducten.</w:t>
      </w:r>
    </w:p>
    <w:p w14:paraId="54B8F3C8" w14:textId="77777777" w:rsidR="002B78A6" w:rsidRPr="008733AC" w:rsidRDefault="00000000">
      <w:pPr>
        <w:pStyle w:val="Lijstalinea"/>
        <w:numPr>
          <w:ilvl w:val="0"/>
          <w:numId w:val="1"/>
        </w:numPr>
        <w:tabs>
          <w:tab w:val="left" w:pos="460"/>
        </w:tabs>
        <w:spacing w:before="239"/>
        <w:ind w:right="152"/>
        <w:jc w:val="both"/>
        <w:rPr>
          <w:i/>
          <w:sz w:val="24"/>
        </w:rPr>
      </w:pPr>
      <w:r w:rsidRPr="008733AC">
        <w:rPr>
          <w:i/>
          <w:sz w:val="24"/>
        </w:rPr>
        <w:t>Een marktdeelnemer brengt tijdens de overgangsperiode een relevante grondstof of een product in de handel, dat vervolgens na 30/12/2024 door een of meer niet-kmo-handelaren 'op de markt wordt aangeboden'.</w:t>
      </w:r>
    </w:p>
    <w:p w14:paraId="566D1453" w14:textId="04DFA3DD" w:rsidR="002B78A6" w:rsidRPr="008733AC" w:rsidRDefault="00000000">
      <w:pPr>
        <w:pStyle w:val="Plattetekst"/>
        <w:spacing w:before="239"/>
        <w:ind w:right="156"/>
      </w:pPr>
      <w:r w:rsidRPr="008733AC">
        <w:t>In dit scenario zijn de verplichtingen van de niet-kmo-handelaar beperkt tot het verzamelen van toereikend afdoende en verifieerbare informatie om te bewijzen dat de relevante grondstof of het relevante product in de handel is gebracht voordat de Verordening van toepassing werd. Dit zonder afbreuk te doen aan artikel 37, lid 2, met betrekking tot hout en houtproducten.</w:t>
      </w:r>
    </w:p>
    <w:p w14:paraId="1B1F5898" w14:textId="14B6585C" w:rsidR="00CE6172" w:rsidRPr="008733AC" w:rsidRDefault="005A609F" w:rsidP="00CE6172">
      <w:pPr>
        <w:pStyle w:val="Plattetekst"/>
        <w:spacing w:before="239"/>
        <w:ind w:right="156"/>
        <w:jc w:val="center"/>
      </w:pPr>
      <w:r w:rsidRPr="008733AC">
        <mc:AlternateContent>
          <mc:Choice Requires="wps">
            <w:drawing>
              <wp:anchor distT="0" distB="0" distL="0" distR="0" simplePos="0" relativeHeight="251658240" behindDoc="1" locked="0" layoutInCell="1" allowOverlap="1" wp14:anchorId="3E14268A" wp14:editId="033E6591">
                <wp:simplePos x="0" y="0"/>
                <wp:positionH relativeFrom="page">
                  <wp:posOffset>914400</wp:posOffset>
                </wp:positionH>
                <wp:positionV relativeFrom="paragraph">
                  <wp:posOffset>355155</wp:posOffset>
                </wp:positionV>
                <wp:extent cx="1829435"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73D56A7" id="Graphic 3" o:spid="_x0000_s1026" style="position:absolute;margin-left:1in;margin-top:27.95pt;width:144.05pt;height:.75pt;z-index:-2516582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" path="m1829054,l,,,9143r1829054,l1829054,xe" fillcolor="black" stroked="f">
                <v:path arrowok="t"/>
                <w10:wrap type="topAndBottom" anchorx="page"/>
              </v:shape>
            </w:pict>
          </mc:Fallback>
        </mc:AlternateContent>
      </w:r>
      <w:r w:rsidR="00CE6172" w:rsidRPr="008733AC">
        <w:rPr>
          <w:b/>
          <w:color w:val="404040"/>
        </w:rPr>
        <w:t>°°0°°</w:t>
      </w:r>
    </w:p>
    <w:p w14:paraId="56555517" w14:textId="23552698" w:rsidR="002B78A6" w:rsidRPr="008733AC" w:rsidRDefault="00000000" w:rsidP="005A609F">
      <w:pPr>
        <w:spacing w:before="120"/>
        <w:ind w:left="6" w:right="62"/>
        <w:rPr>
          <w:sz w:val="16"/>
          <w:szCs w:val="16"/>
        </w:rPr>
      </w:pPr>
      <w:r w:rsidRPr="008733AC">
        <w:rPr>
          <w:sz w:val="20"/>
          <w:vertAlign w:val="superscript"/>
        </w:rPr>
        <w:t>1</w:t>
      </w:r>
      <w:r w:rsidRPr="008733AC">
        <w:rPr>
          <w:sz w:val="20"/>
        </w:rPr>
        <w:t xml:space="preserve"> </w:t>
      </w:r>
      <w:r w:rsidRPr="008733AC">
        <w:rPr>
          <w:sz w:val="16"/>
          <w:szCs w:val="16"/>
        </w:rPr>
        <w:t>Verordening (EU) nr. 995/2010 blijft echter tot 31 december 2027 van toepassing op hout en houtproducten als omschreven in artikel 2, punt a), van Verordening (EU) nr. 995/2010 die vóór 29 juni 2023 zijn geproduceerd en met ingang van 30 december 2024 in de handel zijn gebracht</w:t>
      </w:r>
    </w:p>
    <w:p w14:paraId="22AE2BEC" w14:textId="77777777" w:rsidR="002B78A6" w:rsidRPr="008733AC" w:rsidRDefault="002B78A6">
      <w:pPr>
        <w:jc w:val="both"/>
        <w:rPr>
          <w:sz w:val="20"/>
        </w:rPr>
        <w:sectPr w:rsidR="002B78A6" w:rsidRPr="008733AC" w:rsidSect="003C21AD">
          <w:pgSz w:w="11910" w:h="16840"/>
          <w:pgMar w:top="1380" w:right="1280" w:bottom="1200" w:left="1340" w:header="0" w:footer="1000" w:gutter="0"/>
          <w:cols w:space="720"/>
        </w:sectPr>
      </w:pPr>
      <w:bookmarkStart w:id="85" w:name="_bookmark88"/>
      <w:bookmarkEnd w:id="85"/>
    </w:p>
    <w:p w14:paraId="0ED7CB0A" w14:textId="77777777" w:rsidR="002B78A6" w:rsidRPr="008733AC" w:rsidRDefault="00000000">
      <w:pPr>
        <w:pStyle w:val="Kop1"/>
        <w:spacing w:before="21"/>
        <w:jc w:val="both"/>
      </w:pPr>
      <w:r w:rsidRPr="008733AC">
        <w:rPr>
          <w:color w:val="404040"/>
        </w:rPr>
        <w:lastRenderedPageBreak/>
        <w:t>Andere vragen</w:t>
      </w:r>
    </w:p>
    <w:p w14:paraId="0794EAFE" w14:textId="77777777" w:rsidR="002B78A6" w:rsidRPr="008733AC" w:rsidRDefault="00000000">
      <w:pPr>
        <w:pStyle w:val="Kop3"/>
        <w:numPr>
          <w:ilvl w:val="0"/>
          <w:numId w:val="2"/>
        </w:numPr>
        <w:tabs>
          <w:tab w:val="left" w:pos="820"/>
        </w:tabs>
        <w:spacing w:before="241"/>
        <w:ind w:left="820" w:hanging="720"/>
      </w:pPr>
      <w:bookmarkStart w:id="86" w:name="_bookmark89"/>
      <w:bookmarkEnd w:id="86"/>
      <w:r w:rsidRPr="008733AC">
        <w:rPr>
          <w:color w:val="404040"/>
        </w:rPr>
        <w:t>Zal de Commissie richtsnoeren uitvaardigen?</w:t>
      </w:r>
    </w:p>
    <w:p w14:paraId="7707DA20" w14:textId="77777777" w:rsidR="002B78A6" w:rsidRPr="008733AC" w:rsidRDefault="00000000">
      <w:pPr>
        <w:pStyle w:val="Plattetekst"/>
        <w:ind w:right="156"/>
      </w:pPr>
      <w:r w:rsidRPr="008733AC">
        <w:rPr>
          <w:color w:val="404040"/>
        </w:rPr>
        <w:t xml:space="preserve">De Commissie werkt aan </w:t>
      </w:r>
      <w:r w:rsidRPr="008733AC">
        <w:rPr>
          <w:b/>
          <w:color w:val="404040"/>
        </w:rPr>
        <w:t xml:space="preserve">richtsnoeren </w:t>
      </w:r>
      <w:r w:rsidRPr="008733AC">
        <w:rPr>
          <w:color w:val="404040"/>
        </w:rPr>
        <w:t>om dieper in te gaan op een aantal aspecten van de Verordening, met name de definitie van 'landbouwgebruik', waarin kwesties aan bod komen die verband houden met boslandbouw en landbouwgrond, certificering, wettigheid en andere aspecten die voor veel belanghebbenden op het terrein van belang zijn. Het is de bedoeling dat deze documenten worden gepubliceerd voordat de Verordening van toepassing wordt.</w:t>
      </w:r>
    </w:p>
    <w:p w14:paraId="03480540" w14:textId="77777777" w:rsidR="002B78A6" w:rsidRPr="008733AC" w:rsidRDefault="00000000">
      <w:pPr>
        <w:pStyle w:val="Plattetekst"/>
        <w:spacing w:before="239"/>
        <w:ind w:right="155"/>
      </w:pPr>
      <w:r w:rsidRPr="008733AC">
        <w:rPr>
          <w:color w:val="404040"/>
        </w:rPr>
        <w:t>De Commissie verzamelt ook input en bevordert de dialoog tussen belanghebbenden via het multistakeholderplatform voor de bescherming en het herstel van de bossen wereldwijd, met het oog op het verstrekken van informeel advies over een aantal kwesties. Dit document met veelgestelde vragen biedt al een antwoord op de meest voorkomende vragen die de Commissie van belanghebbenden heeft ontvangen en zal in de loop van de tijd worden bijgewerkt. Indien nodig zullen extra hulpmiddelen worden voorzien.</w:t>
      </w:r>
    </w:p>
    <w:p w14:paraId="7CFE1308" w14:textId="77777777" w:rsidR="002B78A6" w:rsidRPr="008733AC" w:rsidRDefault="00000000">
      <w:pPr>
        <w:pStyle w:val="Plattetekst"/>
        <w:spacing w:before="242"/>
        <w:ind w:right="158"/>
      </w:pPr>
      <w:r w:rsidRPr="008733AC">
        <w:rPr>
          <w:color w:val="404040"/>
        </w:rPr>
        <w:t>NB: er zijn geen extra richtsnoeren vereist om de regels na te leven. De Commissie wil bepaalde aspecten in detail uitwerken om uit te leggen hoe de Verordening in de praktijk zal werken, voorbeelden van beste praktijken delen, enz.</w:t>
      </w:r>
    </w:p>
    <w:p w14:paraId="3A2D0F3F" w14:textId="77777777" w:rsidR="002B78A6" w:rsidRPr="008733AC" w:rsidRDefault="00000000">
      <w:pPr>
        <w:pStyle w:val="Kop3"/>
        <w:numPr>
          <w:ilvl w:val="0"/>
          <w:numId w:val="2"/>
        </w:numPr>
        <w:tabs>
          <w:tab w:val="left" w:pos="820"/>
        </w:tabs>
        <w:spacing w:before="239"/>
        <w:ind w:left="820" w:hanging="720"/>
      </w:pPr>
      <w:bookmarkStart w:id="87" w:name="_bookmark90"/>
      <w:bookmarkEnd w:id="87"/>
      <w:r w:rsidRPr="008733AC">
        <w:rPr>
          <w:color w:val="404040"/>
        </w:rPr>
        <w:t>Zal de Commissie grondstofspecifieke richtsnoeren uitvaardigen?</w:t>
      </w:r>
    </w:p>
    <w:p w14:paraId="6DAEBFAC" w14:textId="77777777" w:rsidR="002B78A6" w:rsidRPr="008733AC" w:rsidRDefault="00000000">
      <w:pPr>
        <w:pStyle w:val="Plattetekst"/>
        <w:spacing w:line="259" w:lineRule="auto"/>
        <w:ind w:right="160"/>
      </w:pPr>
      <w:r w:rsidRPr="008733AC">
        <w:t>Nee. De Commissie is echter wel van plan om voorbeelden van beste praktijken te geven, onder andere via richtsnoeren, die tot op zekere hoogte betrekking zullen hebben op grondstofspecifieke aspecten.</w:t>
      </w:r>
    </w:p>
    <w:p w14:paraId="63FC16E1" w14:textId="77777777" w:rsidR="002B78A6" w:rsidRPr="008733AC" w:rsidRDefault="00000000">
      <w:pPr>
        <w:pStyle w:val="Kop3"/>
        <w:numPr>
          <w:ilvl w:val="0"/>
          <w:numId w:val="2"/>
        </w:numPr>
        <w:tabs>
          <w:tab w:val="left" w:pos="820"/>
        </w:tabs>
        <w:spacing w:before="159"/>
        <w:ind w:left="820" w:hanging="720"/>
      </w:pPr>
      <w:bookmarkStart w:id="88" w:name="_bookmark91"/>
      <w:bookmarkEnd w:id="88"/>
      <w:r w:rsidRPr="008733AC">
        <w:rPr>
          <w:color w:val="404040"/>
        </w:rPr>
        <w:t>Wat zijn de rapportageverplichtingen voor marktdeelnemers?</w:t>
      </w:r>
    </w:p>
    <w:p w14:paraId="59069712" w14:textId="77777777" w:rsidR="002B78A6" w:rsidRPr="008733AC" w:rsidRDefault="00000000">
      <w:pPr>
        <w:spacing w:before="240"/>
        <w:ind w:left="100" w:right="155"/>
        <w:jc w:val="both"/>
        <w:rPr>
          <w:b/>
          <w:sz w:val="24"/>
        </w:rPr>
      </w:pPr>
      <w:r w:rsidRPr="008733AC">
        <w:rPr>
          <w:b/>
          <w:color w:val="404040"/>
          <w:sz w:val="24"/>
        </w:rPr>
        <w:t>Niet-kmo-marktdeelnemers zullen jaarlijks publiekelijk moeten rapporteren over hun zorgvuldigheidssysteem. Is het voor marktdeelnemers die binnen het toepassingsgebied van de richtlijn duurzaamheidsrapportage door bedrijven (CSRD) vallen en tijdig voldoen aan de EU-standaard voor duurzaamheidsrapportering (ESRS), voldoende om hun rapportering te publiceren volgens de CSRD-vereisten? Of zullen er bijkomende rapportagevereisten zijn?</w:t>
      </w:r>
    </w:p>
    <w:p w14:paraId="6CDE6581" w14:textId="77777777" w:rsidR="002B78A6" w:rsidRPr="008733AC" w:rsidRDefault="00000000">
      <w:pPr>
        <w:pStyle w:val="Plattetekst"/>
        <w:ind w:right="165"/>
      </w:pPr>
      <w:r w:rsidRPr="008733AC">
        <w:rPr>
          <w:color w:val="404040"/>
        </w:rPr>
        <w:t>Wat de rapportageverplichtingen betreft, bepaalt de Verordening dat marktdeelnemers die ook binnen het toepassingsgebied van andere EU-wetgevingsinstrumenten vallen die vereisten opleggen met betrekking tot zorgvuldigheid inzake waardeketens, aan hun rapportageverplichtingen uit hoofde van de Verordening kunnen voldoen door de vereiste informatie op te nemen in hun rapportering in het kader van andere EU-wetgevingsinstrumenten (artikel 12, lid 3).</w:t>
      </w:r>
    </w:p>
    <w:p w14:paraId="2AE8E925" w14:textId="77777777" w:rsidR="002B78A6" w:rsidRPr="008733AC" w:rsidRDefault="00000000">
      <w:pPr>
        <w:pStyle w:val="Kop3"/>
        <w:numPr>
          <w:ilvl w:val="0"/>
          <w:numId w:val="2"/>
        </w:numPr>
        <w:tabs>
          <w:tab w:val="left" w:pos="820"/>
        </w:tabs>
        <w:spacing w:before="241"/>
        <w:ind w:left="820" w:hanging="720"/>
      </w:pPr>
      <w:bookmarkStart w:id="89" w:name="_bookmark92"/>
      <w:bookmarkEnd w:id="89"/>
      <w:r w:rsidRPr="008733AC">
        <w:rPr>
          <w:color w:val="404040"/>
        </w:rPr>
        <w:t>Wat is het EU-observatorium voor ontbossing en bosdegradatie?</w:t>
      </w:r>
    </w:p>
    <w:p w14:paraId="7AB01D8D" w14:textId="6EC9534E" w:rsidR="002B78A6" w:rsidRPr="008733AC" w:rsidRDefault="00000000" w:rsidP="00933051">
      <w:pPr>
        <w:pStyle w:val="Plattetekst"/>
        <w:spacing w:before="241"/>
        <w:ind w:right="154"/>
      </w:pPr>
      <w:r w:rsidRPr="008733AC">
        <w:rPr>
          <w:color w:val="404040"/>
        </w:rPr>
        <w:t xml:space="preserve">Het </w:t>
      </w:r>
      <w:hyperlink r:id="rId14">
        <w:r w:rsidRPr="008733AC">
          <w:rPr>
            <w:color w:val="004493"/>
            <w:u w:val="single" w:color="004493"/>
          </w:rPr>
          <w:t>EU-observatorium</w:t>
        </w:r>
      </w:hyperlink>
      <w:r w:rsidRPr="008733AC">
        <w:rPr>
          <w:color w:val="404040"/>
        </w:rPr>
        <w:t xml:space="preserve"> zal voortbouwen op reeds bestaande monitoringinstrumenten, waaronder Copernicus-producten en andere publiek of privaat beschikbare bronnen, om de tenuitvoerlegging van deze Verordening te ondersteunen door wetenschappelijk bewijs te leveren, waaronder kaarten van de bodembedekking op de afsluitingsdatum, met </w:t>
      </w:r>
      <w:r w:rsidRPr="008733AC">
        <w:rPr>
          <w:color w:val="404040"/>
        </w:rPr>
        <w:lastRenderedPageBreak/>
        <w:t>betrekking tot wereldwijde ontbossing en bosdegradatie en de daarmee samenhangende handel. Het gebruik van deze kaarten garandeert niet automatisch dat aan de voorwaarden van de Verordening wordt voldaan, maar is een hulpmiddel voor bedrijven om ervoor te zorgen dat deze Verordening wordt nageleefd,</w:t>
      </w:r>
      <w:r w:rsidR="00933051" w:rsidRPr="008733AC">
        <w:rPr>
          <w:color w:val="404040"/>
        </w:rPr>
        <w:t xml:space="preserve"> </w:t>
      </w:r>
      <w:r w:rsidRPr="008733AC">
        <w:rPr>
          <w:color w:val="404040"/>
        </w:rPr>
        <w:t>bijvoorbeeld om het ontbossingsrisico te beoordelen. Bedrijven zullen nog steeds verplicht zijn om zorgvuldigheid te betrachten.</w:t>
      </w:r>
    </w:p>
    <w:p w14:paraId="516AAD59" w14:textId="77777777" w:rsidR="002B78A6" w:rsidRPr="008733AC" w:rsidRDefault="00000000">
      <w:pPr>
        <w:pStyle w:val="Plattetekst"/>
        <w:ind w:right="159"/>
      </w:pPr>
      <w:r w:rsidRPr="008733AC">
        <w:rPr>
          <w:color w:val="404040"/>
        </w:rPr>
        <w:t>Het EU-observatorium inzake ontbossing en bosdegradatie zal alle bossen wereldwijd bestrijken, met inbegrip van de Europese bossen, en zal worden ontwikkeld in samenhang met andere lopende beleidsontwikkelingen van de EU, zoals de wetgeving inzake bosmonitoring en de verbetering en uitbreiding van het Europees informatiesysteem voor bossen (FISE).</w:t>
      </w:r>
    </w:p>
    <w:p w14:paraId="04890461" w14:textId="77777777" w:rsidR="002B78A6" w:rsidRPr="008733AC" w:rsidRDefault="00000000">
      <w:pPr>
        <w:pStyle w:val="Plattetekst"/>
        <w:spacing w:before="239"/>
        <w:ind w:right="161"/>
      </w:pPr>
      <w:r w:rsidRPr="008733AC">
        <w:rPr>
          <w:color w:val="404040"/>
        </w:rPr>
        <w:t>Het voornaamste doel van de referentiekaarten geproduceerd door het EU-observatorium is om informatie aan te reiken voor de risicobeoordeling door marktdeelnemers/handelaren en de bevoegde autoriteiten van de EU-lidstaten. Referentiekaarten zullen dus de volgende kenmerken hebben:</w:t>
      </w:r>
    </w:p>
    <w:p w14:paraId="1779B6F0" w14:textId="7CD943D0" w:rsidR="002B78A6" w:rsidRPr="008733AC" w:rsidRDefault="00000000">
      <w:pPr>
        <w:pStyle w:val="Lijstalinea"/>
        <w:numPr>
          <w:ilvl w:val="1"/>
          <w:numId w:val="2"/>
        </w:numPr>
        <w:tabs>
          <w:tab w:val="left" w:pos="460"/>
        </w:tabs>
        <w:spacing w:before="242"/>
        <w:ind w:right="160"/>
        <w:jc w:val="both"/>
        <w:rPr>
          <w:sz w:val="24"/>
        </w:rPr>
      </w:pPr>
      <w:r w:rsidRPr="008733AC">
        <w:rPr>
          <w:b/>
          <w:color w:val="404040"/>
          <w:sz w:val="24"/>
          <w:u w:val="single" w:color="404040"/>
        </w:rPr>
        <w:t xml:space="preserve">Ze </w:t>
      </w:r>
      <w:r w:rsidR="00933051" w:rsidRPr="008733AC">
        <w:rPr>
          <w:b/>
          <w:color w:val="404040"/>
          <w:sz w:val="24"/>
          <w:u w:val="single" w:color="404040"/>
        </w:rPr>
        <w:t xml:space="preserve">zullen </w:t>
      </w:r>
      <w:r w:rsidRPr="008733AC">
        <w:rPr>
          <w:b/>
          <w:color w:val="404040"/>
          <w:sz w:val="24"/>
          <w:u w:val="single" w:color="404040"/>
        </w:rPr>
        <w:t>niet verplicht</w:t>
      </w:r>
      <w:r w:rsidR="00933051" w:rsidRPr="008733AC">
        <w:rPr>
          <w:b/>
          <w:color w:val="404040"/>
          <w:sz w:val="24"/>
          <w:u w:val="single" w:color="404040"/>
        </w:rPr>
        <w:t xml:space="preserve"> zijn</w:t>
      </w:r>
      <w:r w:rsidRPr="008733AC">
        <w:rPr>
          <w:b/>
          <w:color w:val="404040"/>
          <w:sz w:val="24"/>
          <w:u w:val="single" w:color="404040"/>
        </w:rPr>
        <w:t xml:space="preserve">. </w:t>
      </w:r>
      <w:r w:rsidRPr="008733AC">
        <w:rPr>
          <w:color w:val="404040"/>
          <w:sz w:val="24"/>
        </w:rPr>
        <w:t>Er komt geen verplichting voor marktdeelnemers</w:t>
      </w:r>
      <w:r w:rsidR="00933051" w:rsidRPr="008733AC">
        <w:rPr>
          <w:color w:val="404040"/>
          <w:sz w:val="24"/>
        </w:rPr>
        <w:t xml:space="preserve"> </w:t>
      </w:r>
      <w:r w:rsidRPr="008733AC">
        <w:rPr>
          <w:color w:val="404040"/>
          <w:sz w:val="24"/>
        </w:rPr>
        <w:t>/</w:t>
      </w:r>
      <w:r w:rsidR="00933051" w:rsidRPr="008733AC">
        <w:rPr>
          <w:color w:val="404040"/>
          <w:sz w:val="24"/>
        </w:rPr>
        <w:t xml:space="preserve"> </w:t>
      </w:r>
      <w:r w:rsidRPr="008733AC">
        <w:rPr>
          <w:color w:val="404040"/>
          <w:sz w:val="24"/>
        </w:rPr>
        <w:t>handelaren (of bevoegde autoriteiten) om de referentiekaarten van het EU-observatorium te gebruiken ter informatie bij hun risicobeoordeling.</w:t>
      </w:r>
    </w:p>
    <w:p w14:paraId="336BC36B" w14:textId="77777777" w:rsidR="002B78A6" w:rsidRPr="008733AC" w:rsidRDefault="00000000">
      <w:pPr>
        <w:pStyle w:val="Lijstalinea"/>
        <w:numPr>
          <w:ilvl w:val="1"/>
          <w:numId w:val="2"/>
        </w:numPr>
        <w:tabs>
          <w:tab w:val="left" w:pos="460"/>
        </w:tabs>
        <w:ind w:right="159"/>
        <w:jc w:val="both"/>
        <w:rPr>
          <w:sz w:val="24"/>
        </w:rPr>
      </w:pPr>
      <w:r w:rsidRPr="008733AC">
        <w:rPr>
          <w:b/>
          <w:color w:val="404040"/>
          <w:sz w:val="24"/>
          <w:u w:val="single" w:color="404040"/>
        </w:rPr>
        <w:t xml:space="preserve">Ze zullen niet-exclusief zijn. </w:t>
      </w:r>
      <w:r w:rsidRPr="008733AC">
        <w:rPr>
          <w:color w:val="404040"/>
          <w:sz w:val="24"/>
        </w:rPr>
        <w:t>Marktdeelnemers en handelaren (evenals bevoegde autoriteiten) kunnen gebruikmaken van andere kaarten die meer granulair of gedetailleerd kunnen zijn dan de kaarten die door het EU-observatorium beschikbaar worden gesteld. De Verordening schrijft niet voor op welke wijze de informatie voor de risicobeoordeling moet worden verkregen. Het EU-observatorium is een van de vele instrumenten die beschikbaar zullen zijn en zal door de Commissie gratis worden aangeboden.</w:t>
      </w:r>
    </w:p>
    <w:p w14:paraId="4834BC7B" w14:textId="42397AC1" w:rsidR="002B78A6" w:rsidRPr="008733AC" w:rsidRDefault="00000000">
      <w:pPr>
        <w:pStyle w:val="Lijstalinea"/>
        <w:numPr>
          <w:ilvl w:val="1"/>
          <w:numId w:val="2"/>
        </w:numPr>
        <w:tabs>
          <w:tab w:val="left" w:pos="460"/>
        </w:tabs>
        <w:spacing w:before="239"/>
        <w:ind w:right="153"/>
        <w:jc w:val="both"/>
        <w:rPr>
          <w:sz w:val="24"/>
        </w:rPr>
      </w:pPr>
      <w:r w:rsidRPr="008733AC">
        <w:rPr>
          <w:b/>
          <w:color w:val="404040"/>
          <w:sz w:val="24"/>
          <w:u w:val="single" w:color="404040"/>
        </w:rPr>
        <w:t xml:space="preserve">Ze </w:t>
      </w:r>
      <w:r w:rsidR="00933051" w:rsidRPr="008733AC">
        <w:rPr>
          <w:b/>
          <w:color w:val="404040"/>
          <w:sz w:val="24"/>
          <w:u w:val="single" w:color="404040"/>
        </w:rPr>
        <w:t xml:space="preserve">zullen </w:t>
      </w:r>
      <w:r w:rsidRPr="008733AC">
        <w:rPr>
          <w:b/>
          <w:color w:val="404040"/>
          <w:sz w:val="24"/>
          <w:u w:val="single" w:color="404040"/>
        </w:rPr>
        <w:t>niet wettelijk bindend</w:t>
      </w:r>
      <w:r w:rsidR="00933051" w:rsidRPr="008733AC">
        <w:rPr>
          <w:b/>
          <w:color w:val="404040"/>
          <w:sz w:val="24"/>
          <w:u w:val="single" w:color="404040"/>
        </w:rPr>
        <w:t xml:space="preserve"> zijn</w:t>
      </w:r>
      <w:r w:rsidRPr="008733AC">
        <w:rPr>
          <w:b/>
          <w:color w:val="404040"/>
          <w:sz w:val="24"/>
          <w:u w:val="single" w:color="404040"/>
        </w:rPr>
        <w:t xml:space="preserve">. </w:t>
      </w:r>
      <w:r w:rsidRPr="008733AC">
        <w:rPr>
          <w:color w:val="404040"/>
          <w:sz w:val="24"/>
        </w:rPr>
        <w:t>De referentiekaarten die door het EU-observatorium beschikbaar worden gesteld, kunnen dus worden gebruikt voor risicobeoordeling. Het feit dat een verstrekte geolocatie binnen een gebied valt dat als bos wordt beschouwd, leidt echter niet automatisch tot de conclusie van niet-naleving. Anderzijds mag er niet van worden uitgegaan dat wanneer de geolocatie buiten een gebied valt dat als bos wordt beschouwd, de zending/grondstof niet zal worden gecontroleerd (er kunnen willekeurige controles zijn, alsook andere risicofactoren) of dat het product automatisch aan de regels zal voldoen (ten eerste omdat er geen 100% nauwkeurigheid is en ten tweede omdat een ontbossingsvrij product hoe dan ook illegaal kan zijn).</w:t>
      </w:r>
    </w:p>
    <w:p w14:paraId="2A2FA801" w14:textId="77777777" w:rsidR="002B78A6" w:rsidRPr="008733AC" w:rsidRDefault="00000000">
      <w:pPr>
        <w:pStyle w:val="Kop3"/>
        <w:numPr>
          <w:ilvl w:val="0"/>
          <w:numId w:val="2"/>
        </w:numPr>
        <w:tabs>
          <w:tab w:val="left" w:pos="820"/>
        </w:tabs>
        <w:spacing w:before="242"/>
        <w:ind w:left="820" w:hanging="720"/>
      </w:pPr>
      <w:bookmarkStart w:id="90" w:name="_bookmark93"/>
      <w:bookmarkEnd w:id="90"/>
      <w:r w:rsidRPr="008733AC">
        <w:rPr>
          <w:color w:val="404040"/>
        </w:rPr>
        <w:t>Wat vormt een hoog risico en hoe lang kan een opschorting duren?</w:t>
      </w:r>
    </w:p>
    <w:p w14:paraId="014D08BB" w14:textId="77777777" w:rsidR="002B78A6" w:rsidRPr="008733AC" w:rsidRDefault="00000000">
      <w:pPr>
        <w:spacing w:before="240"/>
        <w:ind w:left="100"/>
        <w:jc w:val="both"/>
        <w:rPr>
          <w:b/>
          <w:sz w:val="24"/>
        </w:rPr>
      </w:pPr>
      <w:r w:rsidRPr="008733AC">
        <w:rPr>
          <w:b/>
          <w:color w:val="404040"/>
          <w:sz w:val="24"/>
        </w:rPr>
        <w:t>Artikel 17 biedt bevoegde autoriteiten de mogelijkheid om onmiddellijk maatregelen te nemen – waaronder opschorting</w:t>
      </w:r>
    </w:p>
    <w:p w14:paraId="0354A3A9" w14:textId="77777777" w:rsidR="002B78A6" w:rsidRPr="008733AC" w:rsidRDefault="00000000">
      <w:pPr>
        <w:ind w:left="100" w:right="156"/>
        <w:jc w:val="both"/>
        <w:rPr>
          <w:b/>
          <w:sz w:val="24"/>
        </w:rPr>
      </w:pPr>
      <w:r w:rsidRPr="008733AC">
        <w:rPr>
          <w:b/>
          <w:color w:val="404040"/>
          <w:sz w:val="24"/>
        </w:rPr>
        <w:t>– in situaties met een hoog risico op niet-naleving. Wat vormt een hoog risico en hoe lang kan de opschorting duren?</w:t>
      </w:r>
    </w:p>
    <w:p w14:paraId="55094189" w14:textId="6E37EA20" w:rsidR="00933051" w:rsidRPr="008733AC" w:rsidRDefault="00000000" w:rsidP="00933051">
      <w:pPr>
        <w:pStyle w:val="Plattetekst"/>
        <w:spacing w:before="239"/>
        <w:ind w:right="154"/>
        <w:rPr>
          <w:color w:val="404040"/>
        </w:rPr>
      </w:pPr>
      <w:r w:rsidRPr="008733AC">
        <w:rPr>
          <w:color w:val="404040"/>
        </w:rPr>
        <w:t xml:space="preserve">De bevoegde autoriteiten kunnen situaties vaststellen waarin relevante producten een hoog risico inhouden dat ze niet aan de voorschriften van de Verordening voldoen, op basis van verschillende omstandigheden, waaronder steekproefcontroles, het resultaat van hun </w:t>
      </w:r>
      <w:r w:rsidRPr="008733AC">
        <w:rPr>
          <w:color w:val="404040"/>
        </w:rPr>
        <w:lastRenderedPageBreak/>
        <w:t>risicoanalyse in hun risicogebaseerde plannen, of risico's die worden vastgesteld via het informatiesysteem, of op basis van informatie van een andere bevoegde autoriteit, concrete aanwijzingen enz. In dergelijke gevallen kunnen de bevoegde autoriteiten voorlopige maatregelen nemen zoals omschreven in artikel 23, met inbegrip van de opschorting van het in de handel brengen of op de markt aanbieden van het product. Deze opschorting moet binnen drie werkdagen aflopen, of 72 uur in het geval van aan bederf onderhevige producten. De bevoegde autoriteit kan echter op basis van binnen die termijn uitgevoerde controles besluiten dat de opschorting moet worden verlengd met extra perioden van telkens drie dagen om vast te stellen of de producten aan de Verordening voldoen.</w:t>
      </w:r>
      <w:bookmarkStart w:id="91" w:name="_bookmark94"/>
      <w:bookmarkEnd w:id="91"/>
    </w:p>
    <w:p w14:paraId="721DB59F" w14:textId="78CD9975" w:rsidR="00933051" w:rsidRPr="008733AC" w:rsidRDefault="00933051">
      <w:pPr>
        <w:rPr>
          <w:color w:val="404040"/>
          <w:sz w:val="24"/>
          <w:szCs w:val="24"/>
        </w:rPr>
      </w:pPr>
    </w:p>
    <w:p w14:paraId="5F23F5EA" w14:textId="77777777" w:rsidR="002B78A6" w:rsidRPr="008733AC" w:rsidRDefault="00000000">
      <w:pPr>
        <w:pStyle w:val="Kop3"/>
        <w:numPr>
          <w:ilvl w:val="0"/>
          <w:numId w:val="2"/>
        </w:numPr>
        <w:tabs>
          <w:tab w:val="left" w:pos="818"/>
        </w:tabs>
        <w:spacing w:before="41"/>
        <w:ind w:left="818" w:hanging="718"/>
        <w:jc w:val="both"/>
      </w:pPr>
      <w:r w:rsidRPr="008733AC">
        <w:rPr>
          <w:color w:val="404040"/>
        </w:rPr>
        <w:t>Hoe verhoudt de Verordening zich tot de EU-richtlijn hernieuwbare energie?</w:t>
      </w:r>
    </w:p>
    <w:p w14:paraId="268CA60B" w14:textId="600BB6F4" w:rsidR="002B78A6" w:rsidRPr="008733AC" w:rsidRDefault="00000000" w:rsidP="005A609F">
      <w:pPr>
        <w:pStyle w:val="Plattetekst"/>
        <w:ind w:right="154"/>
      </w:pPr>
      <w:r w:rsidRPr="008733AC">
        <w:rPr>
          <w:color w:val="404040"/>
        </w:rPr>
        <w:t>De doelstellingen van de ontbossingsverordening en de richtlijn hernieuwbare energie zijn complementair, aangezien beide gericht zijn op de overkoepelende doelstelling om klimaatverandering en biodiversiteitsverlies tegen te gaan. Grondstoffen en producten die onder het toepassingsgebied van beide wetgevingen vallen, zullen onderworpen zijn aan de vereisten voor algemene markttoegang onder de EUDR en aan de vereisten om in aanmerking te worden genomen als hernieuwbare energie onder de richtlijn hernieuwbare energie (RED). Deze vereisten zijn verenigbaar en versterken elkaar. In het specifieke geval van certificeringsstelsels voor geringe indirecte veranderingen in landgebruik (ILUC) overeenkomstig Verordening (EU) 2019/807 van de Commissie tot aanvulling van Richtlijn (EU) 2018/2001, kunnen deze certificeringssystemen ook worden gebruikt door marktdeelnemers en handelaren in het kader van hun zorgvuldigheidssysteem om de nodige informatie te verkrijgen om te voldoen aan sommige van de traceerbaarheids- en informatie-eisen die zijn vastgelegd in het artikel</w:t>
      </w:r>
      <w:r w:rsidR="005A609F" w:rsidRPr="008733AC">
        <w:rPr>
          <w:color w:val="404040"/>
        </w:rPr>
        <w:t xml:space="preserve"> </w:t>
      </w:r>
      <w:r w:rsidRPr="008733AC">
        <w:rPr>
          <w:color w:val="404040"/>
        </w:rPr>
        <w:t>9 van de EUDR. Net als bij elk ander certificeringssysteem doet het gebruik ervan geen afbreuk aan de wettelijke verantwoordelijkheid en verplichtingen krachtens de EUDR voor marktdeelnemers en handelaren om de nodige zorgvuldigheid te betrachten.</w:t>
      </w:r>
    </w:p>
    <w:sectPr w:rsidR="002B78A6" w:rsidRPr="008733AC">
      <w:pgSz w:w="11910" w:h="16840"/>
      <w:pgMar w:top="1380" w:right="1280" w:bottom="1200" w:left="13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2F1D" w14:textId="77777777" w:rsidR="003C21AD" w:rsidRDefault="003C21AD">
      <w:r>
        <w:separator/>
      </w:r>
    </w:p>
  </w:endnote>
  <w:endnote w:type="continuationSeparator" w:id="0">
    <w:p w14:paraId="3D0FDCD3" w14:textId="77777777" w:rsidR="003C21AD" w:rsidRDefault="003C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16AD" w14:textId="77777777" w:rsidR="002B78A6" w:rsidRDefault="00000000">
    <w:pPr>
      <w:pStyle w:val="Plattetekst"/>
      <w:spacing w:before="0" w:line="14" w:lineRule="auto"/>
      <w:ind w:left="0"/>
      <w:jc w:val="left"/>
      <w:rPr>
        <w:sz w:val="20"/>
      </w:rPr>
    </w:pPr>
    <w:r>
      <w:rPr>
        <w:noProof/>
      </w:rPr>
      <mc:AlternateContent>
        <mc:Choice Requires="wps">
          <w:drawing>
            <wp:anchor distT="0" distB="0" distL="0" distR="0" simplePos="0" relativeHeight="487176704" behindDoc="1" locked="0" layoutInCell="1" allowOverlap="1" wp14:anchorId="0B5C68CB" wp14:editId="732CE186">
              <wp:simplePos x="0" y="0"/>
              <wp:positionH relativeFrom="page">
                <wp:posOffset>3671951</wp:posOffset>
              </wp:positionH>
              <wp:positionV relativeFrom="page">
                <wp:posOffset>9917379</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1BD4D136" w14:textId="77777777" w:rsidR="002B78A6" w:rsidRDefault="00000000">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0B5C68CB" id="_x0000_t202" coordsize="21600,21600" o:spt="202" path="m,l,21600r21600,l21600,xe">
              <v:stroke joinstyle="miter"/>
              <v:path gradientshapeok="t" o:connecttype="rect"/>
            </v:shapetype>
            <v:shape id="Textbox 1" o:spid="_x0000_s1026" type="#_x0000_t202" style="position:absolute;margin-left:289.15pt;margin-top:780.9pt;width:18.3pt;height:13.05pt;z-index:-1613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" filled="f" stroked="f">
              <v:textbox inset="0,0,0,0">
                <w:txbxContent>
                  <w:p w14:paraId="1BD4D136" w14:textId="77777777" w:rsidR="002B78A6" w:rsidRDefault="00000000">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0695" w14:textId="77777777" w:rsidR="003C21AD" w:rsidRDefault="003C21AD">
      <w:r>
        <w:separator/>
      </w:r>
    </w:p>
  </w:footnote>
  <w:footnote w:type="continuationSeparator" w:id="0">
    <w:p w14:paraId="66701A48" w14:textId="77777777" w:rsidR="003C21AD" w:rsidRDefault="003C2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E35FF"/>
    <w:multiLevelType w:val="hybridMultilevel"/>
    <w:tmpl w:val="71961938"/>
    <w:lvl w:ilvl="0" w:tplc="E6784804">
      <w:start w:val="1"/>
      <w:numFmt w:val="decimal"/>
      <w:lvlText w:val="(%1)"/>
      <w:lvlJc w:val="left"/>
      <w:pPr>
        <w:ind w:left="460" w:hanging="360"/>
        <w:jc w:val="left"/>
      </w:pPr>
      <w:rPr>
        <w:rFonts w:ascii="Calibri" w:eastAsia="Calibri" w:hAnsi="Calibri" w:cs="Calibri" w:hint="default"/>
        <w:b/>
        <w:bCs/>
        <w:i w:val="0"/>
        <w:iCs w:val="0"/>
        <w:color w:val="404040"/>
        <w:spacing w:val="0"/>
        <w:w w:val="100"/>
        <w:sz w:val="24"/>
        <w:szCs w:val="24"/>
        <w:lang w:val="nl-NL" w:eastAsia="en-US" w:bidi="ar-SA"/>
      </w:rPr>
    </w:lvl>
    <w:lvl w:ilvl="1" w:tplc="13448540">
      <w:numFmt w:val="bullet"/>
      <w:lvlText w:val=""/>
      <w:lvlJc w:val="left"/>
      <w:pPr>
        <w:ind w:left="460" w:hanging="360"/>
      </w:pPr>
      <w:rPr>
        <w:rFonts w:ascii="Symbol" w:eastAsia="Symbol" w:hAnsi="Symbol" w:cs="Symbol" w:hint="default"/>
        <w:b w:val="0"/>
        <w:bCs w:val="0"/>
        <w:i w:val="0"/>
        <w:iCs w:val="0"/>
        <w:color w:val="404040"/>
        <w:spacing w:val="0"/>
        <w:w w:val="99"/>
        <w:sz w:val="20"/>
        <w:szCs w:val="20"/>
        <w:lang w:val="nl-NL" w:eastAsia="en-US" w:bidi="ar-SA"/>
      </w:rPr>
    </w:lvl>
    <w:lvl w:ilvl="2" w:tplc="58AAF76E">
      <w:numFmt w:val="bullet"/>
      <w:lvlText w:val="•"/>
      <w:lvlJc w:val="left"/>
      <w:pPr>
        <w:ind w:left="2225" w:hanging="360"/>
      </w:pPr>
      <w:rPr>
        <w:rFonts w:hint="default"/>
        <w:lang w:val="nl-NL" w:eastAsia="en-US" w:bidi="ar-SA"/>
      </w:rPr>
    </w:lvl>
    <w:lvl w:ilvl="3" w:tplc="CC7AED34">
      <w:numFmt w:val="bullet"/>
      <w:lvlText w:val="•"/>
      <w:lvlJc w:val="left"/>
      <w:pPr>
        <w:ind w:left="3107" w:hanging="360"/>
      </w:pPr>
      <w:rPr>
        <w:rFonts w:hint="default"/>
        <w:lang w:val="nl-NL" w:eastAsia="en-US" w:bidi="ar-SA"/>
      </w:rPr>
    </w:lvl>
    <w:lvl w:ilvl="4" w:tplc="73C031E2">
      <w:numFmt w:val="bullet"/>
      <w:lvlText w:val="•"/>
      <w:lvlJc w:val="left"/>
      <w:pPr>
        <w:ind w:left="3990" w:hanging="360"/>
      </w:pPr>
      <w:rPr>
        <w:rFonts w:hint="default"/>
        <w:lang w:val="nl-NL" w:eastAsia="en-US" w:bidi="ar-SA"/>
      </w:rPr>
    </w:lvl>
    <w:lvl w:ilvl="5" w:tplc="F6B88966">
      <w:numFmt w:val="bullet"/>
      <w:lvlText w:val="•"/>
      <w:lvlJc w:val="left"/>
      <w:pPr>
        <w:ind w:left="4873" w:hanging="360"/>
      </w:pPr>
      <w:rPr>
        <w:rFonts w:hint="default"/>
        <w:lang w:val="nl-NL" w:eastAsia="en-US" w:bidi="ar-SA"/>
      </w:rPr>
    </w:lvl>
    <w:lvl w:ilvl="6" w:tplc="74A2031E">
      <w:numFmt w:val="bullet"/>
      <w:lvlText w:val="•"/>
      <w:lvlJc w:val="left"/>
      <w:pPr>
        <w:ind w:left="5755" w:hanging="360"/>
      </w:pPr>
      <w:rPr>
        <w:rFonts w:hint="default"/>
        <w:lang w:val="nl-NL" w:eastAsia="en-US" w:bidi="ar-SA"/>
      </w:rPr>
    </w:lvl>
    <w:lvl w:ilvl="7" w:tplc="0D7CC7EE">
      <w:numFmt w:val="bullet"/>
      <w:lvlText w:val="•"/>
      <w:lvlJc w:val="left"/>
      <w:pPr>
        <w:ind w:left="6638" w:hanging="360"/>
      </w:pPr>
      <w:rPr>
        <w:rFonts w:hint="default"/>
        <w:lang w:val="nl-NL" w:eastAsia="en-US" w:bidi="ar-SA"/>
      </w:rPr>
    </w:lvl>
    <w:lvl w:ilvl="8" w:tplc="68923948">
      <w:numFmt w:val="bullet"/>
      <w:lvlText w:val="•"/>
      <w:lvlJc w:val="left"/>
      <w:pPr>
        <w:ind w:left="7521" w:hanging="360"/>
      </w:pPr>
      <w:rPr>
        <w:rFonts w:hint="default"/>
        <w:lang w:val="nl-NL" w:eastAsia="en-US" w:bidi="ar-SA"/>
      </w:rPr>
    </w:lvl>
  </w:abstractNum>
  <w:abstractNum w:abstractNumId="1" w15:restartNumberingAfterBreak="0">
    <w:nsid w:val="37A86BD5"/>
    <w:multiLevelType w:val="hybridMultilevel"/>
    <w:tmpl w:val="384E7D2A"/>
    <w:lvl w:ilvl="0" w:tplc="1908A7EE">
      <w:start w:val="1"/>
      <w:numFmt w:val="decimal"/>
      <w:lvlText w:val="(%1)"/>
      <w:lvlJc w:val="left"/>
      <w:pPr>
        <w:ind w:left="981" w:hanging="660"/>
        <w:jc w:val="left"/>
      </w:pPr>
      <w:rPr>
        <w:rFonts w:ascii="Calibri" w:eastAsia="Calibri" w:hAnsi="Calibri" w:cs="Calibri" w:hint="default"/>
        <w:b/>
        <w:bCs/>
        <w:i w:val="0"/>
        <w:iCs w:val="0"/>
        <w:spacing w:val="0"/>
        <w:w w:val="100"/>
        <w:sz w:val="22"/>
        <w:szCs w:val="22"/>
        <w:lang w:val="nl-NL" w:eastAsia="en-US" w:bidi="ar-SA"/>
      </w:rPr>
    </w:lvl>
    <w:lvl w:ilvl="1" w:tplc="E784640E">
      <w:numFmt w:val="bullet"/>
      <w:lvlText w:val="•"/>
      <w:lvlJc w:val="left"/>
      <w:pPr>
        <w:ind w:left="1810" w:hanging="660"/>
      </w:pPr>
      <w:rPr>
        <w:rFonts w:hint="default"/>
        <w:lang w:val="nl-NL" w:eastAsia="en-US" w:bidi="ar-SA"/>
      </w:rPr>
    </w:lvl>
    <w:lvl w:ilvl="2" w:tplc="038A3E64">
      <w:numFmt w:val="bullet"/>
      <w:lvlText w:val="•"/>
      <w:lvlJc w:val="left"/>
      <w:pPr>
        <w:ind w:left="2641" w:hanging="660"/>
      </w:pPr>
      <w:rPr>
        <w:rFonts w:hint="default"/>
        <w:lang w:val="nl-NL" w:eastAsia="en-US" w:bidi="ar-SA"/>
      </w:rPr>
    </w:lvl>
    <w:lvl w:ilvl="3" w:tplc="D742793E">
      <w:numFmt w:val="bullet"/>
      <w:lvlText w:val="•"/>
      <w:lvlJc w:val="left"/>
      <w:pPr>
        <w:ind w:left="3471" w:hanging="660"/>
      </w:pPr>
      <w:rPr>
        <w:rFonts w:hint="default"/>
        <w:lang w:val="nl-NL" w:eastAsia="en-US" w:bidi="ar-SA"/>
      </w:rPr>
    </w:lvl>
    <w:lvl w:ilvl="4" w:tplc="CD362D08">
      <w:numFmt w:val="bullet"/>
      <w:lvlText w:val="•"/>
      <w:lvlJc w:val="left"/>
      <w:pPr>
        <w:ind w:left="4302" w:hanging="660"/>
      </w:pPr>
      <w:rPr>
        <w:rFonts w:hint="default"/>
        <w:lang w:val="nl-NL" w:eastAsia="en-US" w:bidi="ar-SA"/>
      </w:rPr>
    </w:lvl>
    <w:lvl w:ilvl="5" w:tplc="F5FEDBB6">
      <w:numFmt w:val="bullet"/>
      <w:lvlText w:val="•"/>
      <w:lvlJc w:val="left"/>
      <w:pPr>
        <w:ind w:left="5133" w:hanging="660"/>
      </w:pPr>
      <w:rPr>
        <w:rFonts w:hint="default"/>
        <w:lang w:val="nl-NL" w:eastAsia="en-US" w:bidi="ar-SA"/>
      </w:rPr>
    </w:lvl>
    <w:lvl w:ilvl="6" w:tplc="91B42866">
      <w:numFmt w:val="bullet"/>
      <w:lvlText w:val="•"/>
      <w:lvlJc w:val="left"/>
      <w:pPr>
        <w:ind w:left="5963" w:hanging="660"/>
      </w:pPr>
      <w:rPr>
        <w:rFonts w:hint="default"/>
        <w:lang w:val="nl-NL" w:eastAsia="en-US" w:bidi="ar-SA"/>
      </w:rPr>
    </w:lvl>
    <w:lvl w:ilvl="7" w:tplc="36E41388">
      <w:numFmt w:val="bullet"/>
      <w:lvlText w:val="•"/>
      <w:lvlJc w:val="left"/>
      <w:pPr>
        <w:ind w:left="6794" w:hanging="660"/>
      </w:pPr>
      <w:rPr>
        <w:rFonts w:hint="default"/>
        <w:lang w:val="nl-NL" w:eastAsia="en-US" w:bidi="ar-SA"/>
      </w:rPr>
    </w:lvl>
    <w:lvl w:ilvl="8" w:tplc="A07E69A2">
      <w:numFmt w:val="bullet"/>
      <w:lvlText w:val="•"/>
      <w:lvlJc w:val="left"/>
      <w:pPr>
        <w:ind w:left="7625" w:hanging="660"/>
      </w:pPr>
      <w:rPr>
        <w:rFonts w:hint="default"/>
        <w:lang w:val="nl-NL" w:eastAsia="en-US" w:bidi="ar-SA"/>
      </w:rPr>
    </w:lvl>
  </w:abstractNum>
  <w:abstractNum w:abstractNumId="2" w15:restartNumberingAfterBreak="0">
    <w:nsid w:val="56C75400"/>
    <w:multiLevelType w:val="hybridMultilevel"/>
    <w:tmpl w:val="A42A77C0"/>
    <w:lvl w:ilvl="0" w:tplc="967CA17C">
      <w:start w:val="1"/>
      <w:numFmt w:val="decimal"/>
      <w:lvlText w:val="%1."/>
      <w:lvlJc w:val="left"/>
      <w:pPr>
        <w:ind w:left="460" w:hanging="360"/>
        <w:jc w:val="left"/>
      </w:pPr>
      <w:rPr>
        <w:rFonts w:ascii="Calibri" w:eastAsia="Calibri" w:hAnsi="Calibri" w:cs="Calibri" w:hint="default"/>
        <w:b w:val="0"/>
        <w:bCs w:val="0"/>
        <w:i w:val="0"/>
        <w:iCs w:val="0"/>
        <w:spacing w:val="0"/>
        <w:w w:val="100"/>
        <w:sz w:val="24"/>
        <w:szCs w:val="24"/>
        <w:lang w:val="nl-NL" w:eastAsia="en-US" w:bidi="ar-SA"/>
      </w:rPr>
    </w:lvl>
    <w:lvl w:ilvl="1" w:tplc="7F2664C6">
      <w:numFmt w:val="bullet"/>
      <w:lvlText w:val="•"/>
      <w:lvlJc w:val="left"/>
      <w:pPr>
        <w:ind w:left="1342" w:hanging="360"/>
      </w:pPr>
      <w:rPr>
        <w:rFonts w:hint="default"/>
        <w:lang w:val="nl-NL" w:eastAsia="en-US" w:bidi="ar-SA"/>
      </w:rPr>
    </w:lvl>
    <w:lvl w:ilvl="2" w:tplc="9C60BCC2">
      <w:numFmt w:val="bullet"/>
      <w:lvlText w:val="•"/>
      <w:lvlJc w:val="left"/>
      <w:pPr>
        <w:ind w:left="2225" w:hanging="360"/>
      </w:pPr>
      <w:rPr>
        <w:rFonts w:hint="default"/>
        <w:lang w:val="nl-NL" w:eastAsia="en-US" w:bidi="ar-SA"/>
      </w:rPr>
    </w:lvl>
    <w:lvl w:ilvl="3" w:tplc="D80E27D4">
      <w:numFmt w:val="bullet"/>
      <w:lvlText w:val="•"/>
      <w:lvlJc w:val="left"/>
      <w:pPr>
        <w:ind w:left="3107" w:hanging="360"/>
      </w:pPr>
      <w:rPr>
        <w:rFonts w:hint="default"/>
        <w:lang w:val="nl-NL" w:eastAsia="en-US" w:bidi="ar-SA"/>
      </w:rPr>
    </w:lvl>
    <w:lvl w:ilvl="4" w:tplc="3AA065DA">
      <w:numFmt w:val="bullet"/>
      <w:lvlText w:val="•"/>
      <w:lvlJc w:val="left"/>
      <w:pPr>
        <w:ind w:left="3990" w:hanging="360"/>
      </w:pPr>
      <w:rPr>
        <w:rFonts w:hint="default"/>
        <w:lang w:val="nl-NL" w:eastAsia="en-US" w:bidi="ar-SA"/>
      </w:rPr>
    </w:lvl>
    <w:lvl w:ilvl="5" w:tplc="E4A8C4C6">
      <w:numFmt w:val="bullet"/>
      <w:lvlText w:val="•"/>
      <w:lvlJc w:val="left"/>
      <w:pPr>
        <w:ind w:left="4873" w:hanging="360"/>
      </w:pPr>
      <w:rPr>
        <w:rFonts w:hint="default"/>
        <w:lang w:val="nl-NL" w:eastAsia="en-US" w:bidi="ar-SA"/>
      </w:rPr>
    </w:lvl>
    <w:lvl w:ilvl="6" w:tplc="9B0C8732">
      <w:numFmt w:val="bullet"/>
      <w:lvlText w:val="•"/>
      <w:lvlJc w:val="left"/>
      <w:pPr>
        <w:ind w:left="5755" w:hanging="360"/>
      </w:pPr>
      <w:rPr>
        <w:rFonts w:hint="default"/>
        <w:lang w:val="nl-NL" w:eastAsia="en-US" w:bidi="ar-SA"/>
      </w:rPr>
    </w:lvl>
    <w:lvl w:ilvl="7" w:tplc="1440325C">
      <w:numFmt w:val="bullet"/>
      <w:lvlText w:val="•"/>
      <w:lvlJc w:val="left"/>
      <w:pPr>
        <w:ind w:left="6638" w:hanging="360"/>
      </w:pPr>
      <w:rPr>
        <w:rFonts w:hint="default"/>
        <w:lang w:val="nl-NL" w:eastAsia="en-US" w:bidi="ar-SA"/>
      </w:rPr>
    </w:lvl>
    <w:lvl w:ilvl="8" w:tplc="628AC15C">
      <w:numFmt w:val="bullet"/>
      <w:lvlText w:val="•"/>
      <w:lvlJc w:val="left"/>
      <w:pPr>
        <w:ind w:left="7521" w:hanging="360"/>
      </w:pPr>
      <w:rPr>
        <w:rFonts w:hint="default"/>
        <w:lang w:val="nl-NL" w:eastAsia="en-US" w:bidi="ar-SA"/>
      </w:rPr>
    </w:lvl>
  </w:abstractNum>
  <w:num w:numId="1" w16cid:durableId="1276985247">
    <w:abstractNumId w:val="2"/>
  </w:num>
  <w:num w:numId="2" w16cid:durableId="546648288">
    <w:abstractNumId w:val="0"/>
  </w:num>
  <w:num w:numId="3" w16cid:durableId="923992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B78A6"/>
    <w:rsid w:val="002133AA"/>
    <w:rsid w:val="002B78A6"/>
    <w:rsid w:val="003C21AD"/>
    <w:rsid w:val="00435D0A"/>
    <w:rsid w:val="004400B0"/>
    <w:rsid w:val="005A609F"/>
    <w:rsid w:val="008733AC"/>
    <w:rsid w:val="00933051"/>
    <w:rsid w:val="00B3692B"/>
    <w:rsid w:val="00CE6172"/>
    <w:rsid w:val="00D10AAB"/>
    <w:rsid w:val="00D5347A"/>
    <w:rsid w:val="00ED0E13"/>
    <w:rsid w:val="00F908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A45E"/>
  <w15:docId w15:val="{C2F2C6F6-1386-4D1A-ADD8-4523CDA3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rPr>
  </w:style>
  <w:style w:type="paragraph" w:styleId="Kop1">
    <w:name w:val="heading 1"/>
    <w:basedOn w:val="Standaard"/>
    <w:uiPriority w:val="9"/>
    <w:qFormat/>
    <w:pPr>
      <w:ind w:left="100"/>
      <w:outlineLvl w:val="0"/>
    </w:pPr>
    <w:rPr>
      <w:b/>
      <w:bCs/>
      <w:sz w:val="32"/>
      <w:szCs w:val="32"/>
    </w:rPr>
  </w:style>
  <w:style w:type="paragraph" w:styleId="Kop2">
    <w:name w:val="heading 2"/>
    <w:basedOn w:val="Standaard"/>
    <w:uiPriority w:val="9"/>
    <w:unhideWhenUsed/>
    <w:qFormat/>
    <w:pPr>
      <w:spacing w:before="241"/>
      <w:ind w:left="460" w:right="158" w:hanging="360"/>
      <w:jc w:val="both"/>
      <w:outlineLvl w:val="1"/>
    </w:pPr>
    <w:rPr>
      <w:b/>
      <w:bCs/>
      <w:sz w:val="26"/>
      <w:szCs w:val="26"/>
    </w:rPr>
  </w:style>
  <w:style w:type="paragraph" w:styleId="Kop3">
    <w:name w:val="heading 3"/>
    <w:basedOn w:val="Standaard"/>
    <w:uiPriority w:val="9"/>
    <w:unhideWhenUsed/>
    <w:qFormat/>
    <w:pPr>
      <w:spacing w:before="240"/>
      <w:ind w:left="820" w:hanging="720"/>
      <w:outlineLvl w:val="2"/>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uiPriority w:val="1"/>
    <w:qFormat/>
    <w:pPr>
      <w:spacing w:before="123"/>
      <w:ind w:left="100"/>
    </w:pPr>
    <w:rPr>
      <w:b/>
      <w:bCs/>
      <w:sz w:val="28"/>
      <w:szCs w:val="28"/>
    </w:rPr>
  </w:style>
  <w:style w:type="paragraph" w:styleId="Inhopg2">
    <w:name w:val="toc 2"/>
    <w:basedOn w:val="Standaard"/>
    <w:uiPriority w:val="1"/>
    <w:qFormat/>
    <w:pPr>
      <w:spacing w:before="120"/>
      <w:ind w:left="981" w:hanging="660"/>
    </w:pPr>
    <w:rPr>
      <w:b/>
      <w:bCs/>
    </w:rPr>
  </w:style>
  <w:style w:type="paragraph" w:styleId="Inhopg3">
    <w:name w:val="toc 3"/>
    <w:basedOn w:val="Standaard"/>
    <w:uiPriority w:val="1"/>
    <w:qFormat/>
    <w:pPr>
      <w:spacing w:before="21"/>
      <w:ind w:left="981"/>
    </w:pPr>
  </w:style>
  <w:style w:type="paragraph" w:styleId="Plattetekst">
    <w:name w:val="Body Text"/>
    <w:basedOn w:val="Standaard"/>
    <w:uiPriority w:val="1"/>
    <w:qFormat/>
    <w:pPr>
      <w:spacing w:before="240"/>
      <w:ind w:left="100"/>
      <w:jc w:val="both"/>
    </w:pPr>
    <w:rPr>
      <w:sz w:val="24"/>
      <w:szCs w:val="24"/>
    </w:rPr>
  </w:style>
  <w:style w:type="paragraph" w:styleId="Titel">
    <w:name w:val="Title"/>
    <w:basedOn w:val="Standaard"/>
    <w:uiPriority w:val="10"/>
    <w:qFormat/>
    <w:pPr>
      <w:ind w:right="61"/>
      <w:jc w:val="center"/>
    </w:pPr>
    <w:rPr>
      <w:b/>
      <w:bCs/>
      <w:sz w:val="56"/>
      <w:szCs w:val="56"/>
    </w:rPr>
  </w:style>
  <w:style w:type="paragraph" w:styleId="Lijstalinea">
    <w:name w:val="List Paragraph"/>
    <w:basedOn w:val="Standaard"/>
    <w:uiPriority w:val="1"/>
    <w:qFormat/>
    <w:pPr>
      <w:spacing w:before="240"/>
      <w:ind w:left="981" w:hanging="660"/>
    </w:pPr>
  </w:style>
  <w:style w:type="paragraph" w:customStyle="1" w:styleId="TableParagraph">
    <w:name w:val="Table Paragraph"/>
    <w:basedOn w:val="Standaard"/>
    <w:uiPriority w:val="1"/>
    <w:qFormat/>
    <w:pPr>
      <w:ind w:left="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uspa.europa.eu/european-space/eu-space-programme/what-gnss" TargetMode="External"/><Relationship Id="rId13" Type="http://schemas.openxmlformats.org/officeDocument/2006/relationships/hyperlink" Target="https://taxation-customs.ec.europa.eu/eu-single-window-environment-customs_e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op.europa.eu/en/publication-detail/-/publication/13116422-7869-11ee-99ba-01aa75ed71a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een-business.ec.europa.eu/implementation-eu-deforestation-regulation/scope_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ur-lex.europa.eu/legal-content/nl/ALL/?uri=CELEX%3A31987R2658" TargetMode="External"/><Relationship Id="rId4" Type="http://schemas.openxmlformats.org/officeDocument/2006/relationships/webSettings" Target="webSettings.xml"/><Relationship Id="rId9" Type="http://schemas.openxmlformats.org/officeDocument/2006/relationships/hyperlink" Target="https://eur-lex.europa.eu/legal-content/nl/ALL/?uri=CELEX%3A31987R2658" TargetMode="External"/><Relationship Id="rId14" Type="http://schemas.openxmlformats.org/officeDocument/2006/relationships/hyperlink" Target="https://joint-research-centre.ec.europa.eu/jrc-news-and-updates/eu-observatory-covering-deforestation-and-forest-degradation-worldwide-goes-live-2023-12-08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35</Pages>
  <Words>14784</Words>
  <Characters>81315</Characters>
  <Application>Microsoft Office Word</Application>
  <DocSecurity>0</DocSecurity>
  <Lines>677</Lines>
  <Paragraphs>191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Oneliner</cp:lastModifiedBy>
  <cp:revision>6</cp:revision>
  <dcterms:created xsi:type="dcterms:W3CDTF">2024-01-10T10:32:00Z</dcterms:created>
  <dcterms:modified xsi:type="dcterms:W3CDTF">2024-01-18T14:39:00Z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2023-12-22T00:00:00Z</vt:filetime>
  </property>
  <property fmtid="{D5CDD505-2E9C-101B-9397-08002B2CF9AE}" pid="3" name="LastSaved">
    <vt:filetime>2024-01-10T00:00:00Z</vt:filetime>
  </property>
</Properties>
</file>